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7296A" w14:textId="5D32E284" w:rsidR="3A2B788A" w:rsidRPr="00E95BFF" w:rsidRDefault="3A2B788A" w:rsidP="0C8C758A">
      <w:pPr>
        <w:spacing w:after="0" w:line="240" w:lineRule="auto"/>
        <w:rPr>
          <w:rFonts w:eastAsiaTheme="minorEastAsia"/>
          <w:lang w:val="en-US"/>
        </w:rPr>
      </w:pPr>
      <w:r w:rsidRPr="00E95BFF">
        <w:rPr>
          <w:rFonts w:eastAsiaTheme="minorEastAsia"/>
          <w:lang w:val="en-US"/>
        </w:rPr>
        <w:t>TrIPS 2026 pre-conference workshop</w:t>
      </w:r>
    </w:p>
    <w:p w14:paraId="223242B2" w14:textId="34CA95F2" w:rsidR="3A2B788A" w:rsidRPr="00E95BFF" w:rsidRDefault="3A2B788A" w:rsidP="0C8C758A">
      <w:pPr>
        <w:spacing w:after="0" w:line="240" w:lineRule="auto"/>
        <w:rPr>
          <w:rFonts w:eastAsiaTheme="minorEastAsia"/>
          <w:lang w:val="en-US"/>
        </w:rPr>
      </w:pPr>
      <w:r w:rsidRPr="00E95BFF">
        <w:rPr>
          <w:rFonts w:eastAsiaTheme="minorEastAsia"/>
          <w:lang w:val="en-US"/>
        </w:rPr>
        <w:t>6 May 2026</w:t>
      </w:r>
    </w:p>
    <w:p w14:paraId="1FFFC712" w14:textId="39D734DA" w:rsidR="0C8C758A" w:rsidRPr="00E95BFF" w:rsidRDefault="0C8C758A" w:rsidP="0C8C758A">
      <w:pPr>
        <w:spacing w:after="0" w:line="240" w:lineRule="auto"/>
        <w:rPr>
          <w:rFonts w:eastAsiaTheme="minorEastAsia"/>
          <w:lang w:val="en-US"/>
        </w:rPr>
      </w:pPr>
    </w:p>
    <w:p w14:paraId="7104FE49" w14:textId="669E28A8" w:rsidR="0C8C758A" w:rsidRPr="00E95BFF" w:rsidRDefault="0C8C758A" w:rsidP="0C8C758A">
      <w:pPr>
        <w:spacing w:after="0" w:line="240" w:lineRule="auto"/>
        <w:rPr>
          <w:rFonts w:eastAsiaTheme="minorEastAsia"/>
          <w:b/>
          <w:bCs/>
          <w:lang w:val="en-US"/>
        </w:rPr>
      </w:pPr>
    </w:p>
    <w:p w14:paraId="3BFEFB25" w14:textId="30D5E086" w:rsidR="006B1A48" w:rsidRPr="00E95BFF" w:rsidRDefault="6B64DA5E" w:rsidP="0C8C758A">
      <w:pPr>
        <w:spacing w:after="0" w:line="240" w:lineRule="auto"/>
        <w:rPr>
          <w:rFonts w:eastAsiaTheme="minorEastAsia"/>
          <w:b/>
          <w:bCs/>
          <w:lang w:val="en-US"/>
        </w:rPr>
      </w:pPr>
      <w:r w:rsidRPr="00E95BFF">
        <w:rPr>
          <w:rFonts w:eastAsiaTheme="minorEastAsia"/>
          <w:b/>
          <w:bCs/>
          <w:lang w:val="en-US"/>
        </w:rPr>
        <w:t>List of recommended readings (to get you started)</w:t>
      </w:r>
    </w:p>
    <w:p w14:paraId="52125D04" w14:textId="608589A8" w:rsidR="0C8C758A" w:rsidRDefault="0C8C758A" w:rsidP="0C8C758A">
      <w:pPr>
        <w:spacing w:after="0" w:line="240" w:lineRule="auto"/>
        <w:rPr>
          <w:rFonts w:eastAsiaTheme="minorEastAsia"/>
          <w:color w:val="222222"/>
          <w:u w:val="single"/>
          <w:lang w:val="en-US"/>
        </w:rPr>
      </w:pPr>
    </w:p>
    <w:p w14:paraId="036F96FF" w14:textId="2D4A482C" w:rsidR="5E2562E6" w:rsidRDefault="5E2562E6" w:rsidP="0C8C758A">
      <w:pPr>
        <w:spacing w:after="0" w:line="240" w:lineRule="auto"/>
        <w:rPr>
          <w:rFonts w:eastAsiaTheme="minorEastAsia"/>
          <w:color w:val="222222"/>
          <w:u w:val="single"/>
          <w:lang w:val="en-US"/>
        </w:rPr>
      </w:pPr>
      <w:r w:rsidRPr="0C8C758A">
        <w:rPr>
          <w:rFonts w:eastAsiaTheme="minorEastAsia"/>
          <w:color w:val="222222"/>
          <w:u w:val="single"/>
          <w:lang w:val="en-US"/>
        </w:rPr>
        <w:t>General reading on</w:t>
      </w:r>
      <w:r w:rsidR="01604765" w:rsidRPr="0C8C758A">
        <w:rPr>
          <w:rFonts w:eastAsiaTheme="minorEastAsia"/>
          <w:color w:val="222222"/>
          <w:u w:val="single"/>
          <w:lang w:val="en-US"/>
        </w:rPr>
        <w:t xml:space="preserve"> eye-tracking methods</w:t>
      </w:r>
    </w:p>
    <w:p w14:paraId="10125A44" w14:textId="0BD8E09D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59BD6724" w14:textId="044BA9A0" w:rsidR="01604765" w:rsidRDefault="01604765" w:rsidP="0C8C758A">
      <w:pPr>
        <w:spacing w:after="0" w:line="240" w:lineRule="auto"/>
        <w:rPr>
          <w:rFonts w:eastAsiaTheme="minorEastAsia"/>
          <w:color w:val="222222"/>
          <w:lang w:val="en-US"/>
        </w:rPr>
      </w:pPr>
      <w:r w:rsidRPr="00E95BFF">
        <w:rPr>
          <w:rFonts w:eastAsiaTheme="minorEastAsia"/>
          <w:color w:val="222222"/>
          <w:lang w:val="fr-BE"/>
        </w:rPr>
        <w:t xml:space="preserve">Carter, B. T., &amp; Luke, S. G. (2020). </w:t>
      </w:r>
      <w:r w:rsidRPr="0C8C758A">
        <w:rPr>
          <w:rFonts w:eastAsiaTheme="minorEastAsia"/>
          <w:color w:val="222222"/>
          <w:lang w:val="en-US"/>
        </w:rPr>
        <w:t xml:space="preserve">Best practices in eye tracking research. </w:t>
      </w:r>
      <w:r w:rsidRPr="0C8C758A">
        <w:rPr>
          <w:rFonts w:eastAsiaTheme="minorEastAsia"/>
          <w:i/>
          <w:iCs/>
          <w:color w:val="222222"/>
          <w:lang w:val="en-US"/>
        </w:rPr>
        <w:t>International journal of psychophysiology</w:t>
      </w:r>
      <w:r w:rsidRPr="0C8C758A">
        <w:rPr>
          <w:rFonts w:eastAsiaTheme="minorEastAsia"/>
          <w:color w:val="222222"/>
          <w:lang w:val="en-US"/>
        </w:rPr>
        <w:t xml:space="preserve">, </w:t>
      </w:r>
      <w:r w:rsidRPr="0C8C758A">
        <w:rPr>
          <w:rFonts w:eastAsiaTheme="minorEastAsia"/>
          <w:i/>
          <w:iCs/>
          <w:color w:val="222222"/>
          <w:lang w:val="en-US"/>
        </w:rPr>
        <w:t>155</w:t>
      </w:r>
      <w:r w:rsidRPr="0C8C758A">
        <w:rPr>
          <w:rFonts w:eastAsiaTheme="minorEastAsia"/>
          <w:color w:val="222222"/>
          <w:lang w:val="en-US"/>
        </w:rPr>
        <w:t>, 49-62.</w:t>
      </w:r>
      <w:r w:rsidR="4EC6D7DB" w:rsidRPr="0C8C758A">
        <w:rPr>
          <w:rFonts w:eastAsiaTheme="minorEastAsia"/>
          <w:color w:val="222222"/>
          <w:lang w:val="en-US"/>
        </w:rPr>
        <w:t xml:space="preserve"> </w:t>
      </w:r>
      <w:r w:rsidR="4EC6D7DB">
        <w:fldChar w:fldCharType="begin"/>
      </w:r>
      <w:r w:rsidR="4EC6D7DB" w:rsidRPr="00E95BFF">
        <w:rPr>
          <w:lang w:val="en-US"/>
        </w:rPr>
        <w:instrText>HYPERLINK "https://doi.org/10.1016/j.ijpsycho.2020.05.010" \h</w:instrText>
      </w:r>
      <w:r w:rsidR="4EC6D7DB">
        <w:fldChar w:fldCharType="separate"/>
      </w:r>
      <w:r w:rsidR="4EC6D7DB" w:rsidRPr="0C8C758A">
        <w:rPr>
          <w:rStyle w:val="Hyperlink"/>
          <w:rFonts w:eastAsiaTheme="minorEastAsia"/>
          <w:color w:val="0272B1"/>
          <w:u w:val="none"/>
          <w:lang w:val="en-US"/>
        </w:rPr>
        <w:t>https://doi.org/10.1016/j.ijpsycho.2020.05.010</w:t>
      </w:r>
      <w:r w:rsidR="4EC6D7DB">
        <w:fldChar w:fldCharType="end"/>
      </w:r>
    </w:p>
    <w:p w14:paraId="583ABF9E" w14:textId="0D654B3A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4BCD411F" w14:textId="6CDF86B2" w:rsidR="01604765" w:rsidRDefault="01604765" w:rsidP="0C8C758A">
      <w:pPr>
        <w:spacing w:after="0" w:line="240" w:lineRule="auto"/>
        <w:rPr>
          <w:rFonts w:eastAsiaTheme="minorEastAsia"/>
          <w:color w:val="222222"/>
          <w:lang w:val="en-US"/>
        </w:rPr>
      </w:pPr>
      <w:r w:rsidRPr="0C8C758A">
        <w:rPr>
          <w:rFonts w:eastAsiaTheme="minorEastAsia"/>
          <w:color w:val="222222"/>
          <w:lang w:val="en-US"/>
        </w:rPr>
        <w:t xml:space="preserve">Conklin, K., Pellicer-Sánchez, A., &amp; Carrol, G. (2018). </w:t>
      </w:r>
      <w:r w:rsidRPr="0C8C758A">
        <w:rPr>
          <w:rFonts w:eastAsiaTheme="minorEastAsia"/>
          <w:i/>
          <w:iCs/>
          <w:color w:val="222222"/>
          <w:lang w:val="en-US"/>
        </w:rPr>
        <w:t>Eye-tracking: A guide for applied linguistics research</w:t>
      </w:r>
      <w:r w:rsidRPr="0C8C758A">
        <w:rPr>
          <w:rFonts w:eastAsiaTheme="minorEastAsia"/>
          <w:color w:val="222222"/>
          <w:lang w:val="en-US"/>
        </w:rPr>
        <w:t>. Cambridge University Press.</w:t>
      </w:r>
    </w:p>
    <w:p w14:paraId="05FDFC64" w14:textId="650238E9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36DA531B" w14:textId="2D949143" w:rsidR="01604765" w:rsidRDefault="01604765" w:rsidP="0C8C758A">
      <w:pPr>
        <w:spacing w:after="0" w:line="240" w:lineRule="auto"/>
        <w:rPr>
          <w:rFonts w:eastAsiaTheme="minorEastAsia"/>
          <w:color w:val="222222"/>
          <w:lang w:val="en-US"/>
        </w:rPr>
      </w:pPr>
      <w:r w:rsidRPr="0C8C758A">
        <w:rPr>
          <w:rFonts w:eastAsiaTheme="minorEastAsia"/>
          <w:color w:val="222222"/>
          <w:lang w:val="en-US"/>
        </w:rPr>
        <w:t xml:space="preserve">Holmqvist, K., Nyström, M., Andersson, R., Dewhurst, R., Jarodzka, H., &amp; Van de Weijer, J. (2011). </w:t>
      </w:r>
      <w:r w:rsidRPr="0C8C758A">
        <w:rPr>
          <w:rFonts w:eastAsiaTheme="minorEastAsia"/>
          <w:i/>
          <w:iCs/>
          <w:color w:val="222222"/>
          <w:lang w:val="en-US"/>
        </w:rPr>
        <w:t>Eye tracking: A comprehensive guide to methods and measures</w:t>
      </w:r>
      <w:r w:rsidRPr="0C8C758A">
        <w:rPr>
          <w:rFonts w:eastAsiaTheme="minorEastAsia"/>
          <w:color w:val="222222"/>
          <w:lang w:val="en-US"/>
        </w:rPr>
        <w:t>. Oxford University Press.</w:t>
      </w:r>
    </w:p>
    <w:p w14:paraId="1034FA46" w14:textId="5779B049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74CF5981" w14:textId="3ECE00B7" w:rsidR="0AF1C489" w:rsidRDefault="0AF1C489" w:rsidP="0C8C758A">
      <w:pPr>
        <w:spacing w:after="0" w:line="240" w:lineRule="auto"/>
        <w:rPr>
          <w:rFonts w:eastAsiaTheme="minorEastAsia"/>
          <w:color w:val="222222"/>
          <w:u w:val="single"/>
          <w:lang w:val="en-US"/>
        </w:rPr>
      </w:pPr>
      <w:r w:rsidRPr="0C8C758A">
        <w:rPr>
          <w:rFonts w:eastAsiaTheme="minorEastAsia"/>
          <w:color w:val="222222"/>
          <w:u w:val="single"/>
          <w:lang w:val="en-US"/>
        </w:rPr>
        <w:t>Analysis of reading measures data</w:t>
      </w:r>
    </w:p>
    <w:p w14:paraId="2DB4168E" w14:textId="7FCD8F55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1E89D76D" w14:textId="21D8AA0F" w:rsidR="0AF1C489" w:rsidRDefault="0AF1C489" w:rsidP="0C8C758A">
      <w:pPr>
        <w:spacing w:after="0" w:line="240" w:lineRule="auto"/>
        <w:rPr>
          <w:rFonts w:eastAsiaTheme="minorEastAsia"/>
          <w:color w:val="222222"/>
          <w:lang w:val="en-US"/>
        </w:rPr>
      </w:pPr>
      <w:r w:rsidRPr="0C8C758A">
        <w:rPr>
          <w:rFonts w:eastAsiaTheme="minorEastAsia"/>
          <w:color w:val="222222"/>
          <w:lang w:val="en-US"/>
        </w:rPr>
        <w:t xml:space="preserve">Eskenazi, M. A. (2024). Best practices for cleaning eye movement data in reading research. </w:t>
      </w:r>
      <w:r w:rsidRPr="0C8C758A">
        <w:rPr>
          <w:rFonts w:eastAsiaTheme="minorEastAsia"/>
          <w:i/>
          <w:iCs/>
          <w:color w:val="222222"/>
          <w:lang w:val="en-US"/>
        </w:rPr>
        <w:t>Behavior Research Methods</w:t>
      </w:r>
      <w:r w:rsidRPr="0C8C758A">
        <w:rPr>
          <w:rFonts w:eastAsiaTheme="minorEastAsia"/>
          <w:color w:val="222222"/>
          <w:lang w:val="en-US"/>
        </w:rPr>
        <w:t xml:space="preserve">, </w:t>
      </w:r>
      <w:r w:rsidRPr="0C8C758A">
        <w:rPr>
          <w:rFonts w:eastAsiaTheme="minorEastAsia"/>
          <w:i/>
          <w:iCs/>
          <w:color w:val="222222"/>
          <w:lang w:val="en-US"/>
        </w:rPr>
        <w:t>56</w:t>
      </w:r>
      <w:r w:rsidRPr="0C8C758A">
        <w:rPr>
          <w:rFonts w:eastAsiaTheme="minorEastAsia"/>
          <w:color w:val="222222"/>
          <w:lang w:val="en-US"/>
        </w:rPr>
        <w:t>(3), 2083-2093.</w:t>
      </w:r>
      <w:r w:rsidR="65875C06" w:rsidRPr="0C8C758A">
        <w:rPr>
          <w:rFonts w:eastAsiaTheme="minorEastAsia"/>
          <w:color w:val="222222"/>
          <w:lang w:val="en-US"/>
        </w:rPr>
        <w:t xml:space="preserve"> https://doi.org/10.3758/s13428-023-02137-x</w:t>
      </w:r>
    </w:p>
    <w:p w14:paraId="77AD14D8" w14:textId="2A95CC1F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6A78DCF5" w14:textId="618FF65D" w:rsidR="0AF1C489" w:rsidRDefault="0AF1C489" w:rsidP="0C8C758A">
      <w:pPr>
        <w:spacing w:after="0" w:line="240" w:lineRule="auto"/>
        <w:rPr>
          <w:rFonts w:eastAsiaTheme="minorEastAsia"/>
          <w:color w:val="222222"/>
          <w:lang w:val="en-US"/>
        </w:rPr>
      </w:pPr>
      <w:r w:rsidRPr="0C8C758A">
        <w:rPr>
          <w:rFonts w:eastAsiaTheme="minorEastAsia"/>
          <w:color w:val="222222"/>
          <w:lang w:val="en-US"/>
        </w:rPr>
        <w:t xml:space="preserve">Schotter, E. R., &amp; Dillon, B. (2025). A beginner’s guide to eye tracking for psycholinguistic studies of reading. </w:t>
      </w:r>
      <w:r w:rsidRPr="0C8C758A">
        <w:rPr>
          <w:rFonts w:eastAsiaTheme="minorEastAsia"/>
          <w:i/>
          <w:iCs/>
          <w:color w:val="222222"/>
          <w:lang w:val="en-US"/>
        </w:rPr>
        <w:t>Behavior research methods</w:t>
      </w:r>
      <w:r w:rsidRPr="0C8C758A">
        <w:rPr>
          <w:rFonts w:eastAsiaTheme="minorEastAsia"/>
          <w:color w:val="222222"/>
          <w:lang w:val="en-US"/>
        </w:rPr>
        <w:t xml:space="preserve">, </w:t>
      </w:r>
      <w:r w:rsidRPr="0C8C758A">
        <w:rPr>
          <w:rFonts w:eastAsiaTheme="minorEastAsia"/>
          <w:i/>
          <w:iCs/>
          <w:color w:val="222222"/>
          <w:lang w:val="en-US"/>
        </w:rPr>
        <w:t>57</w:t>
      </w:r>
      <w:r w:rsidRPr="0C8C758A">
        <w:rPr>
          <w:rFonts w:eastAsiaTheme="minorEastAsia"/>
          <w:color w:val="222222"/>
          <w:lang w:val="en-US"/>
        </w:rPr>
        <w:t>(2), 68.</w:t>
      </w:r>
      <w:r w:rsidR="6966239A" w:rsidRPr="0C8C758A">
        <w:rPr>
          <w:rFonts w:eastAsiaTheme="minorEastAsia"/>
          <w:color w:val="222222"/>
          <w:lang w:val="en-US"/>
        </w:rPr>
        <w:t xml:space="preserve"> </w:t>
      </w:r>
      <w:hyperlink r:id="rId7">
        <w:r w:rsidR="6966239A" w:rsidRPr="0C8C758A">
          <w:rPr>
            <w:rStyle w:val="Hyperlink"/>
            <w:rFonts w:eastAsiaTheme="minorEastAsia"/>
            <w:lang w:val="en-US"/>
          </w:rPr>
          <w:t>https://doi.org/10.3758/s13428-024-02572-4</w:t>
        </w:r>
      </w:hyperlink>
      <w:r w:rsidR="6966239A" w:rsidRPr="0C8C758A">
        <w:rPr>
          <w:rFonts w:eastAsiaTheme="minorEastAsia"/>
          <w:color w:val="222222"/>
          <w:lang w:val="en-US"/>
        </w:rPr>
        <w:t xml:space="preserve"> </w:t>
      </w:r>
    </w:p>
    <w:p w14:paraId="489D6E4B" w14:textId="23EA5D41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0AE3CCE5" w14:textId="68D8D3CF" w:rsidR="01604765" w:rsidRPr="00E95BFF" w:rsidRDefault="01604765" w:rsidP="0C8C758A">
      <w:pPr>
        <w:spacing w:after="0" w:line="240" w:lineRule="auto"/>
        <w:rPr>
          <w:rFonts w:eastAsiaTheme="minorEastAsia"/>
          <w:u w:val="single"/>
          <w:lang w:val="en-US"/>
        </w:rPr>
      </w:pPr>
      <w:r w:rsidRPr="00E95BFF">
        <w:rPr>
          <w:rFonts w:eastAsiaTheme="minorEastAsia"/>
          <w:u w:val="single"/>
          <w:lang w:val="en-US"/>
        </w:rPr>
        <w:t>Seminal studies on reading</w:t>
      </w:r>
      <w:r w:rsidR="252E0155" w:rsidRPr="00E95BFF">
        <w:rPr>
          <w:rFonts w:eastAsiaTheme="minorEastAsia"/>
          <w:u w:val="single"/>
          <w:lang w:val="en-US"/>
        </w:rPr>
        <w:t xml:space="preserve"> (explaining reading measures)</w:t>
      </w:r>
    </w:p>
    <w:p w14:paraId="69ED3491" w14:textId="7411ABC3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238DF526" w14:textId="312CF660" w:rsidR="6BBA6B9E" w:rsidRDefault="6BBA6B9E" w:rsidP="0C8C758A">
      <w:pPr>
        <w:spacing w:after="0" w:line="240" w:lineRule="auto"/>
        <w:rPr>
          <w:rFonts w:eastAsiaTheme="minorEastAsia"/>
          <w:color w:val="222222"/>
          <w:lang w:val="en-US"/>
        </w:rPr>
      </w:pPr>
      <w:r w:rsidRPr="0C8C758A">
        <w:rPr>
          <w:rFonts w:eastAsiaTheme="minorEastAsia"/>
          <w:color w:val="222222"/>
          <w:lang w:val="en-US"/>
        </w:rPr>
        <w:t xml:space="preserve">Liversedge, S. P., Paterson, K. B., &amp; Pickering, M. J. (1998). Eye movements and measures of reading time. In </w:t>
      </w:r>
      <w:r w:rsidRPr="0C8C758A">
        <w:rPr>
          <w:rFonts w:eastAsiaTheme="minorEastAsia"/>
          <w:i/>
          <w:iCs/>
          <w:color w:val="222222"/>
          <w:lang w:val="en-US"/>
        </w:rPr>
        <w:t>Eye guidance in reading and scene perception</w:t>
      </w:r>
      <w:r w:rsidRPr="0C8C758A">
        <w:rPr>
          <w:rFonts w:eastAsiaTheme="minorEastAsia"/>
          <w:color w:val="222222"/>
          <w:lang w:val="en-US"/>
        </w:rPr>
        <w:t xml:space="preserve"> (pp. 55-75). Elsevier Science Ltd.</w:t>
      </w:r>
      <w:r w:rsidR="2A659869" w:rsidRPr="0C8C758A">
        <w:rPr>
          <w:rFonts w:eastAsiaTheme="minorEastAsia"/>
          <w:color w:val="222222"/>
          <w:lang w:val="en-US"/>
        </w:rPr>
        <w:t xml:space="preserve"> </w:t>
      </w:r>
      <w:hyperlink r:id="rId8">
        <w:r w:rsidR="2A659869" w:rsidRPr="0C8C758A">
          <w:rPr>
            <w:rStyle w:val="Hyperlink"/>
            <w:rFonts w:eastAsiaTheme="minorEastAsia"/>
            <w:color w:val="0272B1"/>
            <w:u w:val="none"/>
            <w:lang w:val="en-US"/>
          </w:rPr>
          <w:t>https://doi.org/10.1016/B978-008043361-5/50004-3</w:t>
        </w:r>
      </w:hyperlink>
    </w:p>
    <w:p w14:paraId="32CC0379" w14:textId="55DB0D19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6BFB80C0" w14:textId="775BECCE" w:rsidR="6BBA6B9E" w:rsidRDefault="6BBA6B9E" w:rsidP="0C8C758A">
      <w:pPr>
        <w:spacing w:after="0" w:line="240" w:lineRule="auto"/>
        <w:rPr>
          <w:rFonts w:eastAsiaTheme="minorEastAsia"/>
        </w:rPr>
      </w:pPr>
      <w:r w:rsidRPr="0C8C758A">
        <w:rPr>
          <w:rFonts w:eastAsiaTheme="minorEastAsia"/>
          <w:color w:val="222222"/>
          <w:lang w:val="en-US"/>
        </w:rPr>
        <w:t xml:space="preserve">Rayner, K., Sereno, S. C., Morris, R. K., Schmauder, A. R., &amp; Clifton Jr, C. (1989). Eye movements and on-line language comprehension processes. </w:t>
      </w:r>
      <w:r w:rsidRPr="00E95BFF">
        <w:rPr>
          <w:rFonts w:eastAsiaTheme="minorEastAsia"/>
          <w:i/>
          <w:iCs/>
          <w:color w:val="222222"/>
          <w:lang w:val="fr-BE"/>
        </w:rPr>
        <w:t>Language and Cognitive processes</w:t>
      </w:r>
      <w:r w:rsidRPr="00E95BFF">
        <w:rPr>
          <w:rFonts w:eastAsiaTheme="minorEastAsia"/>
          <w:color w:val="222222"/>
          <w:lang w:val="fr-BE"/>
        </w:rPr>
        <w:t xml:space="preserve">, </w:t>
      </w:r>
      <w:r w:rsidRPr="00E95BFF">
        <w:rPr>
          <w:rFonts w:eastAsiaTheme="minorEastAsia"/>
          <w:i/>
          <w:iCs/>
          <w:color w:val="222222"/>
          <w:lang w:val="fr-BE"/>
        </w:rPr>
        <w:t>4</w:t>
      </w:r>
      <w:r w:rsidRPr="00E95BFF">
        <w:rPr>
          <w:rFonts w:eastAsiaTheme="minorEastAsia"/>
          <w:color w:val="222222"/>
          <w:lang w:val="fr-BE"/>
        </w:rPr>
        <w:t>(3-4), SI21-SI49.</w:t>
      </w:r>
      <w:r w:rsidR="670C326D" w:rsidRPr="00E95BFF">
        <w:rPr>
          <w:rFonts w:eastAsiaTheme="minorEastAsia"/>
          <w:color w:val="222222"/>
          <w:lang w:val="fr-BE"/>
        </w:rPr>
        <w:t xml:space="preserve"> </w:t>
      </w:r>
      <w:r w:rsidR="670C326D">
        <w:fldChar w:fldCharType="begin"/>
      </w:r>
      <w:r w:rsidR="670C326D">
        <w:instrText>HYPERLINK "https://doi.org/10.1080/01690968908406362" \h</w:instrText>
      </w:r>
      <w:r w:rsidR="670C326D">
        <w:fldChar w:fldCharType="separate"/>
      </w:r>
      <w:r w:rsidR="670C326D" w:rsidRPr="00E95BFF">
        <w:rPr>
          <w:rStyle w:val="Hyperlink"/>
          <w:rFonts w:eastAsiaTheme="minorEastAsia"/>
          <w:color w:val="006DB4"/>
          <w:u w:val="none"/>
          <w:lang w:val="fr-BE"/>
        </w:rPr>
        <w:t>https://doi.org/10.1080/01690968908406362</w:t>
      </w:r>
      <w:r w:rsidR="670C326D">
        <w:fldChar w:fldCharType="end"/>
      </w:r>
    </w:p>
    <w:p w14:paraId="37F743A2" w14:textId="4B3461C9" w:rsidR="0C8C758A" w:rsidRPr="00E95BFF" w:rsidRDefault="0C8C758A" w:rsidP="0C8C758A">
      <w:pPr>
        <w:spacing w:after="0" w:line="240" w:lineRule="auto"/>
        <w:rPr>
          <w:rFonts w:eastAsiaTheme="minorEastAsia"/>
          <w:color w:val="222222"/>
          <w:lang w:val="fr-BE"/>
        </w:rPr>
      </w:pPr>
    </w:p>
    <w:p w14:paraId="4EFDBBE7" w14:textId="38C12733" w:rsidR="6BBA6B9E" w:rsidRPr="00E95BFF" w:rsidRDefault="6BBA6B9E" w:rsidP="0C8C758A">
      <w:pPr>
        <w:spacing w:after="0" w:line="240" w:lineRule="auto"/>
        <w:rPr>
          <w:rFonts w:eastAsiaTheme="minorEastAsia"/>
          <w:lang w:val="en-US"/>
        </w:rPr>
      </w:pPr>
      <w:r w:rsidRPr="00E95BFF">
        <w:rPr>
          <w:rFonts w:eastAsiaTheme="minorEastAsia"/>
          <w:color w:val="222222"/>
          <w:lang w:val="fr-BE"/>
        </w:rPr>
        <w:t xml:space="preserve">Rayner, K. (1998). </w:t>
      </w:r>
      <w:r w:rsidRPr="0C8C758A">
        <w:rPr>
          <w:rFonts w:eastAsiaTheme="minorEastAsia"/>
          <w:color w:val="222222"/>
          <w:lang w:val="en-US"/>
        </w:rPr>
        <w:t xml:space="preserve">Eye movements in reading and information processing: 20 years of research. </w:t>
      </w:r>
      <w:r w:rsidRPr="0C8C758A">
        <w:rPr>
          <w:rFonts w:eastAsiaTheme="minorEastAsia"/>
          <w:i/>
          <w:iCs/>
          <w:color w:val="222222"/>
          <w:lang w:val="en-US"/>
        </w:rPr>
        <w:t>Psychological bulletin</w:t>
      </w:r>
      <w:r w:rsidRPr="0C8C758A">
        <w:rPr>
          <w:rFonts w:eastAsiaTheme="minorEastAsia"/>
          <w:color w:val="222222"/>
          <w:lang w:val="en-US"/>
        </w:rPr>
        <w:t xml:space="preserve">, </w:t>
      </w:r>
      <w:r w:rsidRPr="0C8C758A">
        <w:rPr>
          <w:rFonts w:eastAsiaTheme="minorEastAsia"/>
          <w:i/>
          <w:iCs/>
          <w:color w:val="222222"/>
          <w:lang w:val="en-US"/>
        </w:rPr>
        <w:t>124</w:t>
      </w:r>
      <w:r w:rsidRPr="0C8C758A">
        <w:rPr>
          <w:rFonts w:eastAsiaTheme="minorEastAsia"/>
          <w:color w:val="222222"/>
          <w:lang w:val="en-US"/>
        </w:rPr>
        <w:t>(3), 372.</w:t>
      </w:r>
      <w:r w:rsidR="3E9AB6CC" w:rsidRPr="0C8C758A">
        <w:rPr>
          <w:rFonts w:eastAsiaTheme="minorEastAsia"/>
          <w:color w:val="222222"/>
          <w:lang w:val="en-US"/>
        </w:rPr>
        <w:t xml:space="preserve"> </w:t>
      </w:r>
      <w:r w:rsidR="3E9AB6CC">
        <w:fldChar w:fldCharType="begin"/>
      </w:r>
      <w:r w:rsidR="3E9AB6CC" w:rsidRPr="00E95BFF">
        <w:rPr>
          <w:lang w:val="en-US"/>
        </w:rPr>
        <w:instrText>HYPERLINK "https://psycnet.apa.org/doi/10.1037/0033-2909.124.3.372" \h</w:instrText>
      </w:r>
      <w:r w:rsidR="3E9AB6CC">
        <w:fldChar w:fldCharType="separate"/>
      </w:r>
      <w:r w:rsidR="3E9AB6CC" w:rsidRPr="0C8C758A">
        <w:rPr>
          <w:rStyle w:val="Hyperlink"/>
          <w:rFonts w:eastAsiaTheme="minorEastAsia"/>
          <w:color w:val="212529"/>
          <w:lang w:val="en-US"/>
        </w:rPr>
        <w:t>https://doi.org/10.1037/0033-2909.124.3.372</w:t>
      </w:r>
      <w:r w:rsidR="3E9AB6CC">
        <w:fldChar w:fldCharType="end"/>
      </w:r>
    </w:p>
    <w:p w14:paraId="5ABF773B" w14:textId="34047C84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7B9D1EB5" w14:textId="08645B7D" w:rsidR="6BBA6B9E" w:rsidRDefault="6BBA6B9E" w:rsidP="0C8C758A">
      <w:pPr>
        <w:spacing w:after="0" w:line="240" w:lineRule="auto"/>
        <w:rPr>
          <w:rFonts w:eastAsiaTheme="minorEastAsia"/>
          <w:color w:val="222222"/>
          <w:u w:val="single"/>
          <w:lang w:val="en-US"/>
        </w:rPr>
      </w:pPr>
      <w:r w:rsidRPr="0C8C758A">
        <w:rPr>
          <w:rFonts w:eastAsiaTheme="minorEastAsia"/>
          <w:color w:val="222222"/>
          <w:u w:val="single"/>
          <w:lang w:val="en-US"/>
        </w:rPr>
        <w:t>Stud</w:t>
      </w:r>
      <w:r w:rsidR="5CC94FF9" w:rsidRPr="0C8C758A">
        <w:rPr>
          <w:rFonts w:eastAsiaTheme="minorEastAsia"/>
          <w:color w:val="222222"/>
          <w:u w:val="single"/>
          <w:lang w:val="en-US"/>
        </w:rPr>
        <w:t>ies</w:t>
      </w:r>
      <w:r w:rsidRPr="0C8C758A">
        <w:rPr>
          <w:rFonts w:eastAsiaTheme="minorEastAsia"/>
          <w:color w:val="222222"/>
          <w:u w:val="single"/>
          <w:lang w:val="en-US"/>
        </w:rPr>
        <w:t xml:space="preserve"> on prediction in reading</w:t>
      </w:r>
    </w:p>
    <w:p w14:paraId="5034CCB2" w14:textId="03B95709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263B7A29" w14:textId="1D16E0B7" w:rsidR="6BBA6B9E" w:rsidRDefault="6BBA6B9E" w:rsidP="0C8C758A">
      <w:pPr>
        <w:shd w:val="clear" w:color="auto" w:fill="FFFFFF" w:themeFill="background1"/>
        <w:spacing w:after="0"/>
        <w:rPr>
          <w:rFonts w:eastAsiaTheme="minorEastAsia"/>
          <w:color w:val="222222"/>
          <w:lang w:val="en-US"/>
        </w:rPr>
      </w:pPr>
      <w:r w:rsidRPr="0C8C758A">
        <w:rPr>
          <w:rFonts w:eastAsiaTheme="minorEastAsia"/>
          <w:color w:val="222222"/>
          <w:lang w:val="en-US"/>
        </w:rPr>
        <w:t xml:space="preserve">Frisson, S., Rayner, K., &amp; Pickering, M. J. (2005). Effects of contextual predictability and transitional probability on eye movements during reading. </w:t>
      </w:r>
      <w:r w:rsidRPr="0C8C758A">
        <w:rPr>
          <w:rFonts w:eastAsiaTheme="minorEastAsia"/>
          <w:i/>
          <w:iCs/>
          <w:color w:val="222222"/>
          <w:lang w:val="en-US"/>
        </w:rPr>
        <w:t xml:space="preserve">Journal of Experimental </w:t>
      </w:r>
      <w:r w:rsidRPr="0C8C758A">
        <w:rPr>
          <w:rFonts w:eastAsiaTheme="minorEastAsia"/>
          <w:i/>
          <w:iCs/>
          <w:color w:val="222222"/>
          <w:lang w:val="en-US"/>
        </w:rPr>
        <w:lastRenderedPageBreak/>
        <w:t>Psychology: Learning, Memory, and Cognition</w:t>
      </w:r>
      <w:r w:rsidRPr="0C8C758A">
        <w:rPr>
          <w:rFonts w:eastAsiaTheme="minorEastAsia"/>
          <w:color w:val="222222"/>
          <w:lang w:val="en-US"/>
        </w:rPr>
        <w:t xml:space="preserve">, </w:t>
      </w:r>
      <w:r w:rsidRPr="0C8C758A">
        <w:rPr>
          <w:rFonts w:eastAsiaTheme="minorEastAsia"/>
          <w:i/>
          <w:iCs/>
          <w:color w:val="222222"/>
          <w:lang w:val="en-US"/>
        </w:rPr>
        <w:t>31</w:t>
      </w:r>
      <w:r w:rsidRPr="0C8C758A">
        <w:rPr>
          <w:rFonts w:eastAsiaTheme="minorEastAsia"/>
          <w:color w:val="222222"/>
          <w:lang w:val="en-US"/>
        </w:rPr>
        <w:t>(5), 862</w:t>
      </w:r>
      <w:r w:rsidR="0090F6C9" w:rsidRPr="0C8C758A">
        <w:rPr>
          <w:rFonts w:eastAsiaTheme="minorEastAsia"/>
          <w:color w:val="222222"/>
          <w:lang w:val="en-US"/>
        </w:rPr>
        <w:t>-877</w:t>
      </w:r>
      <w:r w:rsidRPr="0C8C758A">
        <w:rPr>
          <w:rFonts w:eastAsiaTheme="minorEastAsia"/>
          <w:color w:val="222222"/>
          <w:lang w:val="en-US"/>
        </w:rPr>
        <w:t>.</w:t>
      </w:r>
      <w:r w:rsidR="3FE42503" w:rsidRPr="0C8C758A">
        <w:rPr>
          <w:rFonts w:eastAsiaTheme="minorEastAsia"/>
          <w:color w:val="222222"/>
          <w:lang w:val="en-US"/>
        </w:rPr>
        <w:t xml:space="preserve"> DOI: </w:t>
      </w:r>
      <w:r w:rsidR="3FE42503">
        <w:fldChar w:fldCharType="begin"/>
      </w:r>
      <w:r w:rsidR="3FE42503" w:rsidRPr="00E95BFF">
        <w:rPr>
          <w:lang w:val="en-US"/>
        </w:rPr>
        <w:instrText>HYPERLINK "https://doi.org/10.1037/0278-7393.31.5.862" \h</w:instrText>
      </w:r>
      <w:r w:rsidR="3FE42503">
        <w:fldChar w:fldCharType="separate"/>
      </w:r>
      <w:r w:rsidR="3FE42503" w:rsidRPr="0C8C758A">
        <w:rPr>
          <w:rStyle w:val="Hyperlink"/>
          <w:rFonts w:eastAsiaTheme="minorEastAsia"/>
          <w:color w:val="205493"/>
          <w:lang w:val="en-US"/>
        </w:rPr>
        <w:t>10.1037/0278-7393.31.5.862</w:t>
      </w:r>
      <w:r w:rsidR="3FE42503">
        <w:fldChar w:fldCharType="end"/>
      </w:r>
    </w:p>
    <w:p w14:paraId="46157ACC" w14:textId="666406F5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00AABADC" w14:textId="08A8F0CE" w:rsidR="3119DA97" w:rsidRDefault="3119DA97" w:rsidP="0C8C758A">
      <w:pPr>
        <w:spacing w:after="0" w:line="240" w:lineRule="auto"/>
        <w:rPr>
          <w:rFonts w:eastAsiaTheme="minorEastAsia"/>
          <w:color w:val="222222"/>
          <w:lang w:val="en-US"/>
        </w:rPr>
      </w:pPr>
      <w:r w:rsidRPr="0C8C758A">
        <w:rPr>
          <w:rFonts w:eastAsiaTheme="minorEastAsia"/>
          <w:color w:val="222222"/>
          <w:lang w:val="en-US"/>
        </w:rPr>
        <w:t xml:space="preserve">Rayner, K., &amp; Well, A. D. (1996). Effects of contextual constraint on eye movements in reading: A further examination. </w:t>
      </w:r>
      <w:r w:rsidRPr="0C8C758A">
        <w:rPr>
          <w:rFonts w:eastAsiaTheme="minorEastAsia"/>
          <w:i/>
          <w:iCs/>
          <w:color w:val="222222"/>
          <w:lang w:val="en-US"/>
        </w:rPr>
        <w:t>Psychonomic Bulletin &amp; Review</w:t>
      </w:r>
      <w:r w:rsidRPr="0C8C758A">
        <w:rPr>
          <w:rFonts w:eastAsiaTheme="minorEastAsia"/>
          <w:color w:val="222222"/>
          <w:lang w:val="en-US"/>
        </w:rPr>
        <w:t xml:space="preserve">, </w:t>
      </w:r>
      <w:r w:rsidRPr="0C8C758A">
        <w:rPr>
          <w:rFonts w:eastAsiaTheme="minorEastAsia"/>
          <w:i/>
          <w:iCs/>
          <w:color w:val="222222"/>
          <w:lang w:val="en-US"/>
        </w:rPr>
        <w:t>3</w:t>
      </w:r>
      <w:r w:rsidRPr="0C8C758A">
        <w:rPr>
          <w:rFonts w:eastAsiaTheme="minorEastAsia"/>
          <w:color w:val="222222"/>
          <w:lang w:val="en-US"/>
        </w:rPr>
        <w:t>(4), 504-509.</w:t>
      </w:r>
      <w:r w:rsidR="6C30C517" w:rsidRPr="0C8C758A">
        <w:rPr>
          <w:rFonts w:eastAsiaTheme="minorEastAsia"/>
          <w:color w:val="222222"/>
          <w:lang w:val="en-US"/>
        </w:rPr>
        <w:t xml:space="preserve"> </w:t>
      </w:r>
      <w:r w:rsidR="6C30C517">
        <w:fldChar w:fldCharType="begin"/>
      </w:r>
      <w:r w:rsidR="6C30C517" w:rsidRPr="00E95BFF">
        <w:rPr>
          <w:lang w:val="en-US"/>
        </w:rPr>
        <w:instrText>HYPERLINK "https://doi.org/10.3758/BF03214555" \h</w:instrText>
      </w:r>
      <w:r w:rsidR="6C30C517">
        <w:fldChar w:fldCharType="separate"/>
      </w:r>
      <w:r w:rsidR="6C30C517" w:rsidRPr="0C8C758A">
        <w:rPr>
          <w:rStyle w:val="Hyperlink"/>
          <w:rFonts w:eastAsiaTheme="minorEastAsia"/>
          <w:lang w:val="en-US"/>
        </w:rPr>
        <w:t>https://doi.org/10.3758/BF03214555</w:t>
      </w:r>
      <w:r w:rsidR="6C30C517">
        <w:fldChar w:fldCharType="end"/>
      </w:r>
      <w:r w:rsidR="6C30C517" w:rsidRPr="0C8C758A">
        <w:rPr>
          <w:rFonts w:eastAsiaTheme="minorEastAsia"/>
          <w:color w:val="222222"/>
          <w:lang w:val="en-US"/>
        </w:rPr>
        <w:t xml:space="preserve"> </w:t>
      </w:r>
    </w:p>
    <w:p w14:paraId="5998876E" w14:textId="23374F04" w:rsidR="0C8C758A" w:rsidRPr="00E95BFF" w:rsidRDefault="0C8C758A" w:rsidP="0C8C758A">
      <w:pPr>
        <w:spacing w:after="0" w:line="240" w:lineRule="auto"/>
        <w:rPr>
          <w:rFonts w:eastAsiaTheme="minorEastAsia"/>
          <w:u w:val="single"/>
          <w:lang w:val="en-US"/>
        </w:rPr>
      </w:pPr>
    </w:p>
    <w:p w14:paraId="1D5CB59A" w14:textId="5022167E" w:rsidR="25FEDBBA" w:rsidRPr="00E95BFF" w:rsidRDefault="25FEDBBA" w:rsidP="0C8C758A">
      <w:pPr>
        <w:spacing w:after="0" w:line="240" w:lineRule="auto"/>
        <w:rPr>
          <w:rFonts w:eastAsiaTheme="minorEastAsia"/>
          <w:u w:val="single"/>
          <w:lang w:val="en-US"/>
        </w:rPr>
      </w:pPr>
      <w:r w:rsidRPr="00E95BFF">
        <w:rPr>
          <w:rFonts w:eastAsiaTheme="minorEastAsia"/>
          <w:u w:val="single"/>
          <w:lang w:val="en-US"/>
        </w:rPr>
        <w:t>General reading o</w:t>
      </w:r>
      <w:r w:rsidR="11F3F2A8" w:rsidRPr="00E95BFF">
        <w:rPr>
          <w:rFonts w:eastAsiaTheme="minorEastAsia"/>
          <w:u w:val="single"/>
          <w:lang w:val="en-US"/>
        </w:rPr>
        <w:t>n eye tracking methods in sight translation</w:t>
      </w:r>
      <w:r w:rsidR="613A62EF" w:rsidRPr="00E95BFF">
        <w:rPr>
          <w:rFonts w:eastAsiaTheme="minorEastAsia"/>
          <w:u w:val="single"/>
          <w:lang w:val="en-US"/>
        </w:rPr>
        <w:t>/interpreting</w:t>
      </w:r>
      <w:r w:rsidR="11F3F2A8" w:rsidRPr="00E95BFF">
        <w:rPr>
          <w:rFonts w:eastAsiaTheme="minorEastAsia"/>
          <w:u w:val="single"/>
          <w:lang w:val="en-US"/>
        </w:rPr>
        <w:t xml:space="preserve"> research</w:t>
      </w:r>
    </w:p>
    <w:p w14:paraId="121677D7" w14:textId="1E4DF814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0B57118A" w14:textId="5692C0DA" w:rsidR="4F685721" w:rsidRDefault="4F685721" w:rsidP="0C8C758A">
      <w:pPr>
        <w:spacing w:after="0" w:line="240" w:lineRule="auto"/>
        <w:rPr>
          <w:rFonts w:ascii="Aptos" w:eastAsia="Aptos" w:hAnsi="Aptos" w:cs="Aptos"/>
          <w:lang w:val="en-US"/>
        </w:rPr>
      </w:pPr>
      <w:r w:rsidRPr="0C8C758A">
        <w:rPr>
          <w:rFonts w:ascii="Aptos" w:eastAsia="Aptos" w:hAnsi="Aptos" w:cs="Aptos"/>
          <w:lang w:val="en-US"/>
        </w:rPr>
        <w:t xml:space="preserve">Hvelplund, K.T. (2017). Eye Tracking in Translation Process Research. In J. W. Schwieter and A. Ferreira. </w:t>
      </w:r>
      <w:r w:rsidRPr="0C8C758A">
        <w:rPr>
          <w:rFonts w:ascii="Aptos" w:eastAsia="Aptos" w:hAnsi="Aptos" w:cs="Aptos"/>
          <w:i/>
          <w:iCs/>
          <w:lang w:val="en-US"/>
        </w:rPr>
        <w:t>The Handbook of Translation and Cognition</w:t>
      </w:r>
      <w:r w:rsidRPr="0C8C758A">
        <w:rPr>
          <w:rFonts w:ascii="Aptos" w:eastAsia="Aptos" w:hAnsi="Aptos" w:cs="Aptos"/>
          <w:lang w:val="en-US"/>
        </w:rPr>
        <w:t xml:space="preserve"> (pp. </w:t>
      </w:r>
      <w:r w:rsidR="258C9EEA" w:rsidRPr="0C8C758A">
        <w:rPr>
          <w:rFonts w:ascii="Aptos" w:eastAsia="Aptos" w:hAnsi="Aptos" w:cs="Aptos"/>
          <w:lang w:val="en-US"/>
        </w:rPr>
        <w:t>248-264)</w:t>
      </w:r>
      <w:r w:rsidRPr="0C8C758A">
        <w:rPr>
          <w:rFonts w:ascii="Aptos" w:eastAsia="Aptos" w:hAnsi="Aptos" w:cs="Aptos"/>
          <w:lang w:val="en-US"/>
        </w:rPr>
        <w:t>. https://doi.org/10.1002/9781119241485.ch14</w:t>
      </w:r>
    </w:p>
    <w:p w14:paraId="214FAB54" w14:textId="10D18FCE" w:rsidR="0C8C758A" w:rsidRDefault="0C8C758A" w:rsidP="0C8C758A">
      <w:pPr>
        <w:spacing w:after="0" w:line="240" w:lineRule="auto"/>
        <w:rPr>
          <w:rFonts w:ascii="Aptos" w:eastAsia="Aptos" w:hAnsi="Aptos" w:cs="Aptos"/>
          <w:color w:val="666666"/>
          <w:lang w:val="en-US"/>
        </w:rPr>
      </w:pPr>
    </w:p>
    <w:p w14:paraId="5CD8F75D" w14:textId="248A69C8" w:rsidR="11F3F2A8" w:rsidRPr="00E95BFF" w:rsidRDefault="11F3F2A8" w:rsidP="0C8C758A">
      <w:pPr>
        <w:spacing w:after="0" w:line="240" w:lineRule="auto"/>
        <w:rPr>
          <w:rFonts w:eastAsiaTheme="minorEastAsia"/>
          <w:color w:val="222222"/>
          <w:lang w:val="en-US"/>
        </w:rPr>
      </w:pPr>
      <w:r w:rsidRPr="00E95BFF">
        <w:rPr>
          <w:rFonts w:eastAsiaTheme="minorEastAsia"/>
          <w:color w:val="222222"/>
          <w:lang w:val="de-DE"/>
        </w:rPr>
        <w:t xml:space="preserve">Hu, T., Wang, X., &amp; Xu, H. (2022). </w:t>
      </w:r>
      <w:r w:rsidRPr="00E95BFF">
        <w:rPr>
          <w:rFonts w:eastAsiaTheme="minorEastAsia"/>
          <w:color w:val="222222"/>
          <w:lang w:val="en-US"/>
        </w:rPr>
        <w:t xml:space="preserve">Eye-tracking in interpreting studies: A review of four decades of empirical studies. </w:t>
      </w:r>
      <w:r w:rsidRPr="00E95BFF">
        <w:rPr>
          <w:rFonts w:eastAsiaTheme="minorEastAsia"/>
          <w:i/>
          <w:iCs/>
          <w:color w:val="222222"/>
          <w:lang w:val="en-US"/>
        </w:rPr>
        <w:t>Frontiers in psychology</w:t>
      </w:r>
      <w:r w:rsidRPr="00E95BFF">
        <w:rPr>
          <w:rFonts w:eastAsiaTheme="minorEastAsia"/>
          <w:color w:val="222222"/>
          <w:lang w:val="en-US"/>
        </w:rPr>
        <w:t xml:space="preserve">, </w:t>
      </w:r>
      <w:r w:rsidRPr="00E95BFF">
        <w:rPr>
          <w:rFonts w:eastAsiaTheme="minorEastAsia"/>
          <w:i/>
          <w:iCs/>
          <w:color w:val="222222"/>
          <w:lang w:val="en-US"/>
        </w:rPr>
        <w:t>13</w:t>
      </w:r>
      <w:r w:rsidRPr="00E95BFF">
        <w:rPr>
          <w:rFonts w:eastAsiaTheme="minorEastAsia"/>
          <w:color w:val="222222"/>
          <w:lang w:val="en-US"/>
        </w:rPr>
        <w:t>, 872247.</w:t>
      </w:r>
      <w:r w:rsidR="5DD450D7" w:rsidRPr="00E95BFF">
        <w:rPr>
          <w:rFonts w:eastAsiaTheme="minorEastAsia"/>
          <w:color w:val="222222"/>
          <w:lang w:val="en-US"/>
        </w:rPr>
        <w:t xml:space="preserve"> </w:t>
      </w:r>
      <w:r w:rsidR="5DD450D7">
        <w:fldChar w:fldCharType="begin"/>
      </w:r>
      <w:r w:rsidR="5DD450D7" w:rsidRPr="00E95BFF">
        <w:rPr>
          <w:lang w:val="en-US"/>
        </w:rPr>
        <w:instrText>HYPERLINK "https://doi.org/10.3389/fpsyg.2022.872247" \h</w:instrText>
      </w:r>
      <w:r w:rsidR="5DD450D7">
        <w:fldChar w:fldCharType="separate"/>
      </w:r>
      <w:r w:rsidR="5DD450D7" w:rsidRPr="00E95BFF">
        <w:rPr>
          <w:rStyle w:val="Hyperlink"/>
          <w:rFonts w:eastAsiaTheme="minorEastAsia"/>
          <w:u w:val="none"/>
          <w:lang w:val="en-US"/>
        </w:rPr>
        <w:t>https://doi.org/10.3389/fpsyg.2022.872247</w:t>
      </w:r>
      <w:r w:rsidR="5DD450D7">
        <w:fldChar w:fldCharType="end"/>
      </w:r>
    </w:p>
    <w:p w14:paraId="2CA36A45" w14:textId="7617DC25" w:rsidR="0C8C758A" w:rsidRPr="00E95BFF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137854E2" w14:textId="1461ECC9" w:rsidR="5C599DB9" w:rsidRPr="00E95BFF" w:rsidRDefault="5C599DB9" w:rsidP="0C8C758A">
      <w:pPr>
        <w:spacing w:after="0" w:line="240" w:lineRule="auto"/>
        <w:rPr>
          <w:rFonts w:eastAsiaTheme="minorEastAsia"/>
          <w:color w:val="222222"/>
          <w:u w:val="single"/>
          <w:lang w:val="en-US"/>
        </w:rPr>
      </w:pPr>
      <w:r w:rsidRPr="00E95BFF">
        <w:rPr>
          <w:rFonts w:eastAsiaTheme="minorEastAsia"/>
          <w:color w:val="222222"/>
          <w:u w:val="single"/>
          <w:lang w:val="en-US"/>
        </w:rPr>
        <w:t>Empirical s</w:t>
      </w:r>
      <w:r w:rsidR="11F3F2A8" w:rsidRPr="00E95BFF">
        <w:rPr>
          <w:rFonts w:eastAsiaTheme="minorEastAsia"/>
          <w:color w:val="222222"/>
          <w:u w:val="single"/>
          <w:lang w:val="en-US"/>
        </w:rPr>
        <w:t>tudies using eye tracking in sight translation</w:t>
      </w:r>
      <w:r w:rsidR="74B40B13" w:rsidRPr="00E95BFF">
        <w:rPr>
          <w:rFonts w:eastAsiaTheme="minorEastAsia"/>
          <w:color w:val="222222"/>
          <w:u w:val="single"/>
          <w:lang w:val="en-US"/>
        </w:rPr>
        <w:t>/interpreting</w:t>
      </w:r>
      <w:r w:rsidR="11F3F2A8" w:rsidRPr="00E95BFF">
        <w:rPr>
          <w:rFonts w:eastAsiaTheme="minorEastAsia"/>
          <w:color w:val="222222"/>
          <w:u w:val="single"/>
          <w:lang w:val="en-US"/>
        </w:rPr>
        <w:t xml:space="preserve"> research</w:t>
      </w:r>
    </w:p>
    <w:p w14:paraId="7F67B25F" w14:textId="75E22D56" w:rsidR="0C8C758A" w:rsidRPr="00E95BFF" w:rsidRDefault="0C8C758A" w:rsidP="0C8C758A">
      <w:pPr>
        <w:spacing w:after="0" w:line="240" w:lineRule="auto"/>
        <w:rPr>
          <w:rFonts w:eastAsiaTheme="minorEastAsia"/>
          <w:color w:val="222222"/>
          <w:u w:val="single"/>
          <w:lang w:val="en-US"/>
        </w:rPr>
      </w:pPr>
    </w:p>
    <w:p w14:paraId="040FED47" w14:textId="38C601FC" w:rsidR="5D58035E" w:rsidRDefault="5D58035E" w:rsidP="0C8C758A">
      <w:pPr>
        <w:spacing w:after="0" w:line="240" w:lineRule="auto"/>
        <w:rPr>
          <w:rFonts w:eastAsiaTheme="minorEastAsia"/>
          <w:color w:val="202020"/>
          <w:lang w:val="en-US"/>
        </w:rPr>
      </w:pPr>
      <w:r w:rsidRPr="0C8C758A">
        <w:rPr>
          <w:rFonts w:eastAsiaTheme="minorEastAsia"/>
          <w:lang w:val="en-US"/>
        </w:rPr>
        <w:t xml:space="preserve">Chen, S., Feng, J., &amp; Carl, M. (2025). Exploring preparatory reading in bidirectional sight and written translation through clustering analysis of eye-tracking data. </w:t>
      </w:r>
      <w:r w:rsidRPr="0C8C758A">
        <w:rPr>
          <w:rFonts w:eastAsiaTheme="minorEastAsia"/>
          <w:i/>
          <w:iCs/>
          <w:lang w:val="en-US"/>
        </w:rPr>
        <w:t>PLoS One</w:t>
      </w:r>
      <w:r w:rsidRPr="0C8C758A">
        <w:rPr>
          <w:rFonts w:eastAsiaTheme="minorEastAsia"/>
          <w:lang w:val="en-US"/>
        </w:rPr>
        <w:t xml:space="preserve">, </w:t>
      </w:r>
      <w:r w:rsidRPr="0C8C758A">
        <w:rPr>
          <w:rFonts w:eastAsiaTheme="minorEastAsia"/>
          <w:i/>
          <w:iCs/>
          <w:lang w:val="en-US"/>
        </w:rPr>
        <w:t>20</w:t>
      </w:r>
      <w:r w:rsidRPr="0C8C758A">
        <w:rPr>
          <w:rFonts w:eastAsiaTheme="minorEastAsia"/>
          <w:lang w:val="en-US"/>
        </w:rPr>
        <w:t xml:space="preserve">(8), e0329858. </w:t>
      </w:r>
      <w:r>
        <w:fldChar w:fldCharType="begin"/>
      </w:r>
      <w:r w:rsidRPr="00E95BFF">
        <w:rPr>
          <w:lang w:val="en-US"/>
        </w:rPr>
        <w:instrText>HYPERLINK "https://doi.org/10.1371/journal.pone.0329858" \h</w:instrText>
      </w:r>
      <w:r>
        <w:fldChar w:fldCharType="separate"/>
      </w:r>
      <w:r w:rsidRPr="0C8C758A">
        <w:rPr>
          <w:rStyle w:val="Hyperlink"/>
          <w:rFonts w:eastAsiaTheme="minorEastAsia"/>
          <w:color w:val="202020"/>
          <w:u w:val="none"/>
          <w:lang w:val="en-US"/>
        </w:rPr>
        <w:t>https://doi.org/10.1371/journal.pone.0329858</w:t>
      </w:r>
      <w:r>
        <w:fldChar w:fldCharType="end"/>
      </w:r>
      <w:r w:rsidRPr="0C8C758A">
        <w:rPr>
          <w:rFonts w:eastAsiaTheme="minorEastAsia"/>
          <w:color w:val="202020"/>
          <w:lang w:val="en-US"/>
        </w:rPr>
        <w:t xml:space="preserve"> </w:t>
      </w:r>
    </w:p>
    <w:p w14:paraId="3EAA6AB0" w14:textId="6F481C48" w:rsidR="0C8C758A" w:rsidRDefault="0C8C758A" w:rsidP="0C8C758A">
      <w:pPr>
        <w:spacing w:after="0" w:line="240" w:lineRule="auto"/>
        <w:rPr>
          <w:rFonts w:eastAsiaTheme="minorEastAsia"/>
          <w:color w:val="202020"/>
          <w:lang w:val="en-US"/>
        </w:rPr>
      </w:pPr>
    </w:p>
    <w:p w14:paraId="24CC4A5C" w14:textId="31413884" w:rsidR="23493524" w:rsidRPr="00E95BFF" w:rsidRDefault="23493524" w:rsidP="0C8C758A">
      <w:pPr>
        <w:spacing w:after="0" w:line="240" w:lineRule="auto"/>
        <w:rPr>
          <w:rFonts w:eastAsiaTheme="minorEastAsia"/>
          <w:lang w:val="en-US"/>
        </w:rPr>
      </w:pPr>
      <w:r w:rsidRPr="0C8C758A">
        <w:rPr>
          <w:rFonts w:eastAsiaTheme="minorEastAsia"/>
          <w:color w:val="222222"/>
          <w:lang w:val="en-US"/>
        </w:rPr>
        <w:t xml:space="preserve">Chmiel, A., &amp; Lijewska, A. (2023). Reading patterns, reformulation and eye-voice span (IVS) in sight translation. </w:t>
      </w:r>
      <w:r w:rsidRPr="0C8C758A">
        <w:rPr>
          <w:rFonts w:eastAsiaTheme="minorEastAsia"/>
          <w:i/>
          <w:iCs/>
          <w:color w:val="222222"/>
          <w:lang w:val="en-US"/>
        </w:rPr>
        <w:t>Translation and Interpreting Studies</w:t>
      </w:r>
      <w:r w:rsidRPr="0C8C758A">
        <w:rPr>
          <w:rFonts w:eastAsiaTheme="minorEastAsia"/>
          <w:color w:val="222222"/>
          <w:lang w:val="en-US"/>
        </w:rPr>
        <w:t xml:space="preserve">, </w:t>
      </w:r>
      <w:r w:rsidRPr="0C8C758A">
        <w:rPr>
          <w:rFonts w:eastAsiaTheme="minorEastAsia"/>
          <w:i/>
          <w:iCs/>
          <w:color w:val="222222"/>
          <w:lang w:val="en-US"/>
        </w:rPr>
        <w:t>18</w:t>
      </w:r>
      <w:r w:rsidRPr="0C8C758A">
        <w:rPr>
          <w:rFonts w:eastAsiaTheme="minorEastAsia"/>
          <w:color w:val="222222"/>
          <w:lang w:val="en-US"/>
        </w:rPr>
        <w:t>(2), 213-234.</w:t>
      </w:r>
      <w:r w:rsidR="029A4538" w:rsidRPr="0C8C758A">
        <w:rPr>
          <w:rFonts w:eastAsiaTheme="minorEastAsia"/>
          <w:color w:val="222222"/>
          <w:lang w:val="en-US"/>
        </w:rPr>
        <w:t xml:space="preserve"> </w:t>
      </w:r>
      <w:r w:rsidR="54294718">
        <w:fldChar w:fldCharType="begin"/>
      </w:r>
      <w:r w:rsidR="54294718" w:rsidRPr="00E95BFF">
        <w:rPr>
          <w:lang w:val="en-US"/>
        </w:rPr>
        <w:instrText>HYPERLINK "https://doi.org/10.1075/tis.21021.chm" \h</w:instrText>
      </w:r>
      <w:r w:rsidR="54294718">
        <w:fldChar w:fldCharType="separate"/>
      </w:r>
      <w:r w:rsidR="54294718" w:rsidRPr="0C8C758A">
        <w:rPr>
          <w:rStyle w:val="Hyperlink"/>
          <w:rFonts w:eastAsiaTheme="minorEastAsia"/>
          <w:color w:val="131C3C"/>
          <w:u w:val="none"/>
          <w:lang w:val="en-US"/>
        </w:rPr>
        <w:t>https://doi.org/10.1075/tis.21021.chm</w:t>
      </w:r>
      <w:r w:rsidR="54294718">
        <w:fldChar w:fldCharType="end"/>
      </w:r>
    </w:p>
    <w:p w14:paraId="005B344F" w14:textId="47DE418E" w:rsidR="0C8C758A" w:rsidRDefault="0C8C758A" w:rsidP="0C8C758A">
      <w:pPr>
        <w:spacing w:after="0" w:line="240" w:lineRule="auto"/>
        <w:rPr>
          <w:rFonts w:eastAsiaTheme="minorEastAsia"/>
          <w:lang w:val="en-US"/>
        </w:rPr>
      </w:pPr>
    </w:p>
    <w:p w14:paraId="43BF2F9F" w14:textId="100AA973" w:rsidR="0392E605" w:rsidRDefault="0392E605" w:rsidP="0C8C758A">
      <w:pPr>
        <w:spacing w:after="0" w:line="240" w:lineRule="auto"/>
        <w:rPr>
          <w:rFonts w:eastAsiaTheme="minorEastAsia"/>
        </w:rPr>
      </w:pPr>
      <w:r w:rsidRPr="0C8C758A">
        <w:rPr>
          <w:rFonts w:eastAsiaTheme="minorEastAsia"/>
          <w:color w:val="222222"/>
          <w:lang w:val="en-US"/>
        </w:rPr>
        <w:t xml:space="preserve">Fang, J., Zhang, X., &amp; Kotze, H. (2023). The effects of training on reading behaviour and performance in sight translation: a longitudinal study using eye-tracking. </w:t>
      </w:r>
      <w:r w:rsidRPr="00E95BFF">
        <w:rPr>
          <w:rFonts w:eastAsiaTheme="minorEastAsia"/>
          <w:i/>
          <w:iCs/>
          <w:color w:val="222222"/>
          <w:lang w:val="fr-BE"/>
        </w:rPr>
        <w:t>Perspectives</w:t>
      </w:r>
      <w:r w:rsidRPr="00E95BFF">
        <w:rPr>
          <w:rFonts w:eastAsiaTheme="minorEastAsia"/>
          <w:color w:val="222222"/>
          <w:lang w:val="fr-BE"/>
        </w:rPr>
        <w:t xml:space="preserve">, </w:t>
      </w:r>
      <w:r w:rsidRPr="00E95BFF">
        <w:rPr>
          <w:rFonts w:eastAsiaTheme="minorEastAsia"/>
          <w:i/>
          <w:iCs/>
          <w:color w:val="222222"/>
          <w:lang w:val="fr-BE"/>
        </w:rPr>
        <w:t>31</w:t>
      </w:r>
      <w:r w:rsidRPr="00E95BFF">
        <w:rPr>
          <w:rFonts w:eastAsiaTheme="minorEastAsia"/>
          <w:color w:val="222222"/>
          <w:lang w:val="fr-BE"/>
        </w:rPr>
        <w:t>(4), 655-671.</w:t>
      </w:r>
      <w:r w:rsidR="1BCA60C7" w:rsidRPr="00E95BFF">
        <w:rPr>
          <w:rFonts w:eastAsiaTheme="minorEastAsia"/>
          <w:color w:val="222222"/>
          <w:lang w:val="fr-BE"/>
        </w:rPr>
        <w:t xml:space="preserve"> </w:t>
      </w:r>
      <w:r w:rsidR="600563B4">
        <w:fldChar w:fldCharType="begin"/>
      </w:r>
      <w:r w:rsidR="600563B4">
        <w:instrText>HYPERLINK "https://doi.org/10.1080/0907676X.2022.2030372" \h</w:instrText>
      </w:r>
      <w:r w:rsidR="600563B4">
        <w:fldChar w:fldCharType="separate"/>
      </w:r>
      <w:r w:rsidR="600563B4" w:rsidRPr="00E95BFF">
        <w:rPr>
          <w:rStyle w:val="Hyperlink"/>
          <w:rFonts w:eastAsiaTheme="minorEastAsia"/>
          <w:color w:val="006DB4"/>
          <w:u w:val="none"/>
          <w:lang w:val="fr-BE"/>
        </w:rPr>
        <w:t>https://doi.org/10.1080/0907676X.2022.2030372</w:t>
      </w:r>
      <w:r w:rsidR="600563B4">
        <w:fldChar w:fldCharType="end"/>
      </w:r>
    </w:p>
    <w:p w14:paraId="73BDFD26" w14:textId="5FABFE66" w:rsidR="0C8C758A" w:rsidRPr="00E95BFF" w:rsidRDefault="0C8C758A" w:rsidP="0C8C758A">
      <w:pPr>
        <w:spacing w:after="0" w:line="240" w:lineRule="auto"/>
        <w:rPr>
          <w:rFonts w:eastAsiaTheme="minorEastAsia"/>
          <w:color w:val="006DB4"/>
          <w:lang w:val="fr-BE"/>
        </w:rPr>
      </w:pPr>
    </w:p>
    <w:p w14:paraId="7E60A65C" w14:textId="29E9E4D4" w:rsidR="5A962087" w:rsidRDefault="5A962087" w:rsidP="0C8C758A">
      <w:pPr>
        <w:spacing w:after="0" w:line="240" w:lineRule="auto"/>
        <w:rPr>
          <w:rFonts w:eastAsiaTheme="minorEastAsia"/>
          <w:color w:val="222222"/>
          <w:lang w:val="en-US"/>
        </w:rPr>
      </w:pPr>
      <w:r w:rsidRPr="00E95BFF">
        <w:rPr>
          <w:rFonts w:eastAsiaTheme="minorEastAsia"/>
          <w:color w:val="222222"/>
          <w:lang w:val="fr-BE"/>
        </w:rPr>
        <w:t xml:space="preserve">Lijewska, A., Chmiel, A., &amp; Inhoff, A. W. (2022). </w:t>
      </w:r>
      <w:r w:rsidRPr="0C8C758A">
        <w:rPr>
          <w:rFonts w:eastAsiaTheme="minorEastAsia"/>
          <w:color w:val="222222"/>
          <w:lang w:val="en-US"/>
        </w:rPr>
        <w:t xml:space="preserve">Stages of sight translation: Evidence from eye movements. </w:t>
      </w:r>
      <w:r w:rsidRPr="0C8C758A">
        <w:rPr>
          <w:rFonts w:eastAsiaTheme="minorEastAsia"/>
          <w:i/>
          <w:iCs/>
          <w:color w:val="222222"/>
          <w:lang w:val="en-US"/>
        </w:rPr>
        <w:t>Applied Psycholinguistics</w:t>
      </w:r>
      <w:r w:rsidRPr="0C8C758A">
        <w:rPr>
          <w:rFonts w:eastAsiaTheme="minorEastAsia"/>
          <w:color w:val="222222"/>
          <w:lang w:val="en-US"/>
        </w:rPr>
        <w:t xml:space="preserve">, </w:t>
      </w:r>
      <w:r w:rsidRPr="0C8C758A">
        <w:rPr>
          <w:rFonts w:eastAsiaTheme="minorEastAsia"/>
          <w:i/>
          <w:iCs/>
          <w:color w:val="222222"/>
          <w:lang w:val="en-US"/>
        </w:rPr>
        <w:t>43</w:t>
      </w:r>
      <w:r w:rsidRPr="0C8C758A">
        <w:rPr>
          <w:rFonts w:eastAsiaTheme="minorEastAsia"/>
          <w:color w:val="222222"/>
          <w:lang w:val="en-US"/>
        </w:rPr>
        <w:t>(5), 997-1018.</w:t>
      </w:r>
      <w:r w:rsidR="1F99ABE4" w:rsidRPr="0C8C758A">
        <w:rPr>
          <w:rFonts w:eastAsiaTheme="minorEastAsia"/>
          <w:color w:val="222222"/>
          <w:lang w:val="en-US"/>
        </w:rPr>
        <w:t xml:space="preserve"> </w:t>
      </w:r>
      <w:r w:rsidR="1F99ABE4" w:rsidRPr="0C8C758A">
        <w:rPr>
          <w:rFonts w:eastAsiaTheme="minorEastAsia"/>
          <w:color w:val="181817"/>
          <w:lang w:val="en-US"/>
        </w:rPr>
        <w:t>doi:10.1017/S014271642200025X</w:t>
      </w:r>
    </w:p>
    <w:p w14:paraId="5BCBC0FE" w14:textId="7C08CD6F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6398596F" w14:textId="0A3036C7" w:rsidR="0392E605" w:rsidRPr="00E95BFF" w:rsidRDefault="0392E605" w:rsidP="0C8C758A">
      <w:pPr>
        <w:spacing w:after="0" w:line="240" w:lineRule="auto"/>
        <w:rPr>
          <w:rFonts w:eastAsiaTheme="minorEastAsia"/>
          <w:lang w:val="en-US"/>
        </w:rPr>
      </w:pPr>
      <w:r w:rsidRPr="0C8C758A">
        <w:rPr>
          <w:rFonts w:eastAsiaTheme="minorEastAsia"/>
          <w:color w:val="222222"/>
          <w:lang w:val="en-US"/>
        </w:rPr>
        <w:t xml:space="preserve">Su, W. (2023). Eye-voice span in sight interpreting: an eye-tracking investigation. </w:t>
      </w:r>
      <w:r w:rsidRPr="0C8C758A">
        <w:rPr>
          <w:rFonts w:eastAsiaTheme="minorEastAsia"/>
          <w:i/>
          <w:iCs/>
          <w:color w:val="222222"/>
          <w:lang w:val="en-US"/>
        </w:rPr>
        <w:t>Perspectives</w:t>
      </w:r>
      <w:r w:rsidRPr="0C8C758A">
        <w:rPr>
          <w:rFonts w:eastAsiaTheme="minorEastAsia"/>
          <w:color w:val="222222"/>
          <w:lang w:val="en-US"/>
        </w:rPr>
        <w:t xml:space="preserve">, </w:t>
      </w:r>
      <w:r w:rsidRPr="0C8C758A">
        <w:rPr>
          <w:rFonts w:eastAsiaTheme="minorEastAsia"/>
          <w:i/>
          <w:iCs/>
          <w:color w:val="222222"/>
          <w:lang w:val="en-US"/>
        </w:rPr>
        <w:t>31</w:t>
      </w:r>
      <w:r w:rsidRPr="0C8C758A">
        <w:rPr>
          <w:rFonts w:eastAsiaTheme="minorEastAsia"/>
          <w:color w:val="222222"/>
          <w:lang w:val="en-US"/>
        </w:rPr>
        <w:t>(5), 969-985.</w:t>
      </w:r>
      <w:r w:rsidR="5EB44062" w:rsidRPr="0C8C758A">
        <w:rPr>
          <w:rFonts w:eastAsiaTheme="minorEastAsia"/>
          <w:color w:val="222222"/>
          <w:lang w:val="en-US"/>
        </w:rPr>
        <w:t xml:space="preserve"> </w:t>
      </w:r>
      <w:r w:rsidR="5EB44062">
        <w:fldChar w:fldCharType="begin"/>
      </w:r>
      <w:r w:rsidR="5EB44062" w:rsidRPr="00E95BFF">
        <w:rPr>
          <w:lang w:val="en-US"/>
        </w:rPr>
        <w:instrText>HYPERLINK "https://doi.org/10.1080/0907676X.2023.2171800" \h</w:instrText>
      </w:r>
      <w:r w:rsidR="5EB44062">
        <w:fldChar w:fldCharType="separate"/>
      </w:r>
      <w:r w:rsidR="5EB44062" w:rsidRPr="0C8C758A">
        <w:rPr>
          <w:rStyle w:val="Hyperlink"/>
          <w:rFonts w:eastAsiaTheme="minorEastAsia"/>
          <w:color w:val="006DB4"/>
          <w:u w:val="none"/>
          <w:lang w:val="en-US"/>
        </w:rPr>
        <w:t>https://doi.org/10.1080/0907676X.2023.2171800</w:t>
      </w:r>
      <w:r w:rsidR="5EB44062">
        <w:fldChar w:fldCharType="end"/>
      </w:r>
    </w:p>
    <w:p w14:paraId="364FFC35" w14:textId="56F829A3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08D9F45B" w14:textId="55361C20" w:rsidR="42CE6DE7" w:rsidRDefault="42CE6DE7" w:rsidP="0C8C758A">
      <w:pPr>
        <w:spacing w:after="0" w:line="240" w:lineRule="auto"/>
        <w:rPr>
          <w:rFonts w:eastAsiaTheme="minorEastAsia"/>
          <w:color w:val="222222"/>
          <w:u w:val="single"/>
          <w:lang w:val="en-US"/>
        </w:rPr>
      </w:pPr>
      <w:r w:rsidRPr="0C8C758A">
        <w:rPr>
          <w:rFonts w:eastAsiaTheme="minorEastAsia"/>
          <w:color w:val="222222"/>
          <w:u w:val="single"/>
          <w:lang w:val="en-US"/>
        </w:rPr>
        <w:t>Ena’s study</w:t>
      </w:r>
      <w:r w:rsidR="0392E605" w:rsidRPr="0C8C758A">
        <w:rPr>
          <w:rFonts w:eastAsiaTheme="minorEastAsia"/>
          <w:color w:val="222222"/>
          <w:u w:val="single"/>
          <w:lang w:val="en-US"/>
        </w:rPr>
        <w:t xml:space="preserve"> on predictive processes in sight translation</w:t>
      </w:r>
    </w:p>
    <w:p w14:paraId="5ABB7499" w14:textId="762F8451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401AAA12" w14:textId="67638E4C" w:rsidR="0392E605" w:rsidRDefault="0392E605" w:rsidP="0C8C758A">
      <w:pPr>
        <w:spacing w:after="0" w:line="240" w:lineRule="auto"/>
        <w:rPr>
          <w:rFonts w:eastAsiaTheme="minorEastAsia"/>
          <w:color w:val="222222"/>
          <w:lang w:val="en-US"/>
        </w:rPr>
      </w:pPr>
      <w:r w:rsidRPr="0C8C758A">
        <w:rPr>
          <w:rFonts w:eastAsiaTheme="minorEastAsia"/>
          <w:color w:val="222222"/>
          <w:lang w:val="en-US"/>
        </w:rPr>
        <w:t xml:space="preserve">(Although the study has not been published yet, the below link is to </w:t>
      </w:r>
      <w:r w:rsidR="32E74638" w:rsidRPr="0C8C758A">
        <w:rPr>
          <w:rFonts w:eastAsiaTheme="minorEastAsia"/>
          <w:color w:val="222222"/>
          <w:lang w:val="en-US"/>
        </w:rPr>
        <w:t xml:space="preserve">the </w:t>
      </w:r>
      <w:r w:rsidR="46B87F0F" w:rsidRPr="0C8C758A">
        <w:rPr>
          <w:rFonts w:eastAsiaTheme="minorEastAsia"/>
          <w:color w:val="222222"/>
          <w:lang w:val="en-US"/>
        </w:rPr>
        <w:t xml:space="preserve">data </w:t>
      </w:r>
      <w:r w:rsidR="58801B8E" w:rsidRPr="0C8C758A">
        <w:rPr>
          <w:rFonts w:eastAsiaTheme="minorEastAsia"/>
          <w:color w:val="222222"/>
          <w:lang w:val="en-US"/>
        </w:rPr>
        <w:t xml:space="preserve">shared via </w:t>
      </w:r>
      <w:r w:rsidR="46B87F0F" w:rsidRPr="0C8C758A">
        <w:rPr>
          <w:rFonts w:eastAsiaTheme="minorEastAsia"/>
          <w:color w:val="222222"/>
          <w:lang w:val="en-US"/>
        </w:rPr>
        <w:t xml:space="preserve">an </w:t>
      </w:r>
      <w:r w:rsidRPr="0C8C758A">
        <w:rPr>
          <w:rFonts w:eastAsiaTheme="minorEastAsia"/>
          <w:color w:val="222222"/>
          <w:lang w:val="en-US"/>
        </w:rPr>
        <w:t xml:space="preserve">open access </w:t>
      </w:r>
      <w:r w:rsidR="7897E0AB" w:rsidRPr="0C8C758A">
        <w:rPr>
          <w:rFonts w:eastAsiaTheme="minorEastAsia"/>
          <w:color w:val="222222"/>
          <w:lang w:val="en-US"/>
        </w:rPr>
        <w:t>repository</w:t>
      </w:r>
      <w:r w:rsidRPr="0C8C758A">
        <w:rPr>
          <w:rFonts w:eastAsiaTheme="minorEastAsia"/>
          <w:color w:val="222222"/>
          <w:lang w:val="en-US"/>
        </w:rPr>
        <w:t>, including an explanation of the experimental design and materials</w:t>
      </w:r>
      <w:r w:rsidR="739835DE" w:rsidRPr="0C8C758A">
        <w:rPr>
          <w:rFonts w:eastAsiaTheme="minorEastAsia"/>
          <w:color w:val="222222"/>
          <w:lang w:val="en-US"/>
        </w:rPr>
        <w:t xml:space="preserve">, </w:t>
      </w:r>
      <w:r w:rsidR="68442AE9" w:rsidRPr="0C8C758A">
        <w:rPr>
          <w:rFonts w:eastAsiaTheme="minorEastAsia"/>
          <w:color w:val="222222"/>
          <w:lang w:val="en-US"/>
        </w:rPr>
        <w:t xml:space="preserve">the reading measures data, and </w:t>
      </w:r>
      <w:r w:rsidR="347A06AE" w:rsidRPr="0C8C758A">
        <w:rPr>
          <w:rFonts w:eastAsiaTheme="minorEastAsia"/>
          <w:color w:val="222222"/>
          <w:lang w:val="en-US"/>
        </w:rPr>
        <w:t>the statistical analysis scripts</w:t>
      </w:r>
      <w:r w:rsidR="68442AE9" w:rsidRPr="0C8C758A">
        <w:rPr>
          <w:rFonts w:eastAsiaTheme="minorEastAsia"/>
          <w:color w:val="222222"/>
          <w:lang w:val="en-US"/>
        </w:rPr>
        <w:t>)</w:t>
      </w:r>
    </w:p>
    <w:p w14:paraId="3641014C" w14:textId="4E925EEC" w:rsidR="0C8C758A" w:rsidRDefault="0C8C758A" w:rsidP="0C8C758A">
      <w:pPr>
        <w:spacing w:after="0" w:line="240" w:lineRule="auto"/>
        <w:rPr>
          <w:rFonts w:eastAsiaTheme="minorEastAsia"/>
          <w:lang w:val="en-US"/>
        </w:rPr>
      </w:pPr>
    </w:p>
    <w:p w14:paraId="348C0DAE" w14:textId="0652FA81" w:rsidR="4E85F8BB" w:rsidRDefault="4E85F8BB" w:rsidP="0C8C758A">
      <w:pPr>
        <w:spacing w:after="0" w:line="240" w:lineRule="auto"/>
        <w:rPr>
          <w:rFonts w:eastAsiaTheme="minorEastAsia"/>
          <w:lang w:val="en-US"/>
        </w:rPr>
      </w:pPr>
      <w:r w:rsidRPr="0C8C758A">
        <w:rPr>
          <w:rFonts w:eastAsiaTheme="minorEastAsia"/>
          <w:lang w:val="en-US"/>
        </w:rPr>
        <w:t xml:space="preserve">Hodzik, E., Defrancq, B., &amp; Woumans, E. (2025, December 17). Predictive processes facilitate comprehension and production in </w:t>
      </w:r>
      <w:proofErr w:type="gramStart"/>
      <w:r w:rsidRPr="0C8C758A">
        <w:rPr>
          <w:rFonts w:eastAsiaTheme="minorEastAsia"/>
          <w:lang w:val="en-US"/>
        </w:rPr>
        <w:t>English-Dutch</w:t>
      </w:r>
      <w:proofErr w:type="gramEnd"/>
      <w:r w:rsidRPr="0C8C758A">
        <w:rPr>
          <w:rFonts w:eastAsiaTheme="minorEastAsia"/>
          <w:lang w:val="en-US"/>
        </w:rPr>
        <w:t xml:space="preserve"> sight translation. </w:t>
      </w:r>
      <w:hyperlink r:id="rId9">
        <w:r w:rsidRPr="0C8C758A">
          <w:rPr>
            <w:rStyle w:val="Hyperlink"/>
            <w:rFonts w:eastAsiaTheme="minorEastAsia"/>
            <w:lang w:val="en-US"/>
          </w:rPr>
          <w:t>https://doi.org/10.17605/OSF.IO/6RXDF</w:t>
        </w:r>
      </w:hyperlink>
    </w:p>
    <w:p w14:paraId="6E5E5EBA" w14:textId="142B38A8" w:rsidR="0C8C758A" w:rsidRPr="00E95BFF" w:rsidRDefault="0C8C758A" w:rsidP="0C8C758A">
      <w:pPr>
        <w:spacing w:after="0" w:line="240" w:lineRule="auto"/>
        <w:rPr>
          <w:rFonts w:eastAsiaTheme="minorEastAsia"/>
          <w:u w:val="single"/>
          <w:lang w:val="en-US"/>
        </w:rPr>
      </w:pPr>
    </w:p>
    <w:p w14:paraId="3B4CF505" w14:textId="5191952D" w:rsidR="029AFAEB" w:rsidRPr="00E95BFF" w:rsidRDefault="3B944858" w:rsidP="0C8C758A">
      <w:pPr>
        <w:spacing w:after="0" w:line="240" w:lineRule="auto"/>
        <w:rPr>
          <w:rFonts w:eastAsiaTheme="minorEastAsia"/>
          <w:u w:val="single"/>
          <w:lang w:val="en-US"/>
        </w:rPr>
      </w:pPr>
      <w:r w:rsidRPr="00E95BFF">
        <w:rPr>
          <w:rFonts w:eastAsiaTheme="minorEastAsia"/>
          <w:u w:val="single"/>
          <w:lang w:val="en-US"/>
        </w:rPr>
        <w:t>Data analysis of VWP data</w:t>
      </w:r>
    </w:p>
    <w:p w14:paraId="1890140B" w14:textId="09179432" w:rsidR="0C8C758A" w:rsidRDefault="0C8C758A" w:rsidP="0C8C758A">
      <w:pPr>
        <w:spacing w:after="0" w:line="240" w:lineRule="auto"/>
        <w:rPr>
          <w:rFonts w:eastAsiaTheme="minorEastAsia"/>
          <w:color w:val="212121"/>
          <w:lang w:val="en-US"/>
        </w:rPr>
      </w:pPr>
    </w:p>
    <w:p w14:paraId="1872AADB" w14:textId="000D0915" w:rsidR="6AE3A3AF" w:rsidRDefault="298D6239" w:rsidP="0C8C758A">
      <w:pPr>
        <w:spacing w:after="0" w:line="240" w:lineRule="auto"/>
        <w:rPr>
          <w:rFonts w:eastAsiaTheme="minorEastAsia"/>
          <w:color w:val="212121"/>
          <w:lang w:val="en-US"/>
        </w:rPr>
      </w:pPr>
      <w:r w:rsidRPr="0C8C758A">
        <w:rPr>
          <w:rFonts w:eastAsiaTheme="minorEastAsia"/>
          <w:color w:val="212121"/>
          <w:lang w:val="en-US"/>
        </w:rPr>
        <w:t>Ito A</w:t>
      </w:r>
      <w:r w:rsidR="079F4697" w:rsidRPr="0C8C758A">
        <w:rPr>
          <w:rFonts w:eastAsiaTheme="minorEastAsia"/>
          <w:color w:val="212121"/>
          <w:lang w:val="en-US"/>
        </w:rPr>
        <w:t>.,</w:t>
      </w:r>
      <w:r w:rsidR="35DCFEDE" w:rsidRPr="0C8C758A">
        <w:rPr>
          <w:rFonts w:eastAsiaTheme="minorEastAsia"/>
          <w:color w:val="212121"/>
          <w:lang w:val="en-US"/>
        </w:rPr>
        <w:t xml:space="preserve"> &amp;</w:t>
      </w:r>
      <w:r w:rsidRPr="0C8C758A">
        <w:rPr>
          <w:rFonts w:eastAsiaTheme="minorEastAsia"/>
          <w:color w:val="212121"/>
          <w:lang w:val="en-US"/>
        </w:rPr>
        <w:t xml:space="preserve"> Knoeferle P. </w:t>
      </w:r>
      <w:r w:rsidR="786B4810" w:rsidRPr="0C8C758A">
        <w:rPr>
          <w:rFonts w:eastAsiaTheme="minorEastAsia"/>
          <w:color w:val="212121"/>
          <w:lang w:val="en-US"/>
        </w:rPr>
        <w:t xml:space="preserve">(2023). </w:t>
      </w:r>
      <w:r w:rsidRPr="0C8C758A">
        <w:rPr>
          <w:rFonts w:eastAsiaTheme="minorEastAsia"/>
          <w:color w:val="212121"/>
          <w:lang w:val="en-US"/>
        </w:rPr>
        <w:t xml:space="preserve">Analysing data from the psycholinguistic visual-world paradigm: Comparison of different analysis methods. </w:t>
      </w:r>
      <w:r w:rsidRPr="0C8C758A">
        <w:rPr>
          <w:rFonts w:eastAsiaTheme="minorEastAsia"/>
          <w:i/>
          <w:iCs/>
          <w:color w:val="212121"/>
          <w:lang w:val="en-US"/>
        </w:rPr>
        <w:t>Behaviour Research Methods</w:t>
      </w:r>
      <w:r w:rsidR="74B7ADEB" w:rsidRPr="0C8C758A">
        <w:rPr>
          <w:rFonts w:eastAsiaTheme="minorEastAsia"/>
          <w:i/>
          <w:iCs/>
          <w:color w:val="212121"/>
          <w:lang w:val="en-US"/>
        </w:rPr>
        <w:t>,</w:t>
      </w:r>
      <w:r w:rsidRPr="0C8C758A">
        <w:rPr>
          <w:rFonts w:eastAsiaTheme="minorEastAsia"/>
          <w:i/>
          <w:iCs/>
          <w:color w:val="212121"/>
          <w:lang w:val="en-US"/>
        </w:rPr>
        <w:t xml:space="preserve"> 55</w:t>
      </w:r>
      <w:r w:rsidRPr="0C8C758A">
        <w:rPr>
          <w:rFonts w:eastAsiaTheme="minorEastAsia"/>
          <w:color w:val="212121"/>
          <w:lang w:val="en-US"/>
        </w:rPr>
        <w:t>(7)</w:t>
      </w:r>
      <w:r w:rsidR="759F380B" w:rsidRPr="0C8C758A">
        <w:rPr>
          <w:rFonts w:eastAsiaTheme="minorEastAsia"/>
          <w:color w:val="212121"/>
          <w:lang w:val="en-US"/>
        </w:rPr>
        <w:t xml:space="preserve">, </w:t>
      </w:r>
      <w:r w:rsidRPr="0C8C758A">
        <w:rPr>
          <w:rFonts w:eastAsiaTheme="minorEastAsia"/>
          <w:color w:val="212121"/>
          <w:lang w:val="en-US"/>
        </w:rPr>
        <w:t>3461</w:t>
      </w:r>
      <w:r w:rsidR="7300B1A3" w:rsidRPr="0C8C758A">
        <w:rPr>
          <w:rFonts w:eastAsiaTheme="minorEastAsia"/>
          <w:color w:val="000000" w:themeColor="text1"/>
          <w:lang w:val="en-US"/>
        </w:rPr>
        <w:t>–</w:t>
      </w:r>
      <w:r w:rsidRPr="0C8C758A">
        <w:rPr>
          <w:rFonts w:eastAsiaTheme="minorEastAsia"/>
          <w:color w:val="212121"/>
          <w:lang w:val="en-US"/>
        </w:rPr>
        <w:t xml:space="preserve">3493. </w:t>
      </w:r>
      <w:hyperlink r:id="rId10">
        <w:r w:rsidR="5258707E" w:rsidRPr="0C8C758A">
          <w:rPr>
            <w:rStyle w:val="Hyperlink"/>
            <w:rFonts w:eastAsiaTheme="minorEastAsia"/>
            <w:color w:val="000000" w:themeColor="text1"/>
            <w:u w:val="none"/>
            <w:lang w:val="en-US"/>
          </w:rPr>
          <w:t>https://doi.org/10.3758/s13428-022-01969-3</w:t>
        </w:r>
      </w:hyperlink>
    </w:p>
    <w:p w14:paraId="3EE62706" w14:textId="6F9BEFD7" w:rsidR="0C8C758A" w:rsidRDefault="0C8C758A" w:rsidP="0C8C758A">
      <w:pPr>
        <w:spacing w:after="0" w:line="240" w:lineRule="auto"/>
        <w:rPr>
          <w:rFonts w:eastAsiaTheme="minorEastAsia"/>
          <w:u w:val="single"/>
          <w:lang w:val="en-US"/>
        </w:rPr>
      </w:pPr>
    </w:p>
    <w:p w14:paraId="79D910C6" w14:textId="5D42812A" w:rsidR="2E7708B6" w:rsidRDefault="15DAB1C5" w:rsidP="0C8C758A">
      <w:pPr>
        <w:spacing w:after="0" w:line="240" w:lineRule="auto"/>
        <w:rPr>
          <w:rFonts w:eastAsiaTheme="minorEastAsia"/>
          <w:u w:val="single"/>
          <w:lang w:val="en-US"/>
        </w:rPr>
      </w:pPr>
      <w:r w:rsidRPr="0C8C758A">
        <w:rPr>
          <w:rFonts w:eastAsiaTheme="minorEastAsia"/>
          <w:u w:val="single"/>
          <w:lang w:val="en-US"/>
        </w:rPr>
        <w:t>Seminal paper on prediction using the visual-world paradigm</w:t>
      </w:r>
    </w:p>
    <w:p w14:paraId="6707708A" w14:textId="34844C8D" w:rsidR="0C8C758A" w:rsidRDefault="0C8C758A" w:rsidP="0C8C758A">
      <w:pPr>
        <w:spacing w:after="0" w:line="240" w:lineRule="auto"/>
        <w:rPr>
          <w:rFonts w:eastAsiaTheme="minorEastAsia"/>
          <w:lang w:val="en-US"/>
        </w:rPr>
      </w:pPr>
    </w:p>
    <w:p w14:paraId="5896A4D4" w14:textId="05589649" w:rsidR="50891719" w:rsidRPr="00E95BFF" w:rsidRDefault="52C3BB9B" w:rsidP="0C8C758A">
      <w:pPr>
        <w:spacing w:after="0" w:line="240" w:lineRule="auto"/>
        <w:rPr>
          <w:rFonts w:eastAsiaTheme="minorEastAsia"/>
          <w:lang w:val="en-US"/>
        </w:rPr>
      </w:pPr>
      <w:r w:rsidRPr="00E95BFF">
        <w:rPr>
          <w:rFonts w:eastAsiaTheme="minorEastAsia"/>
          <w:lang w:val="de-DE"/>
        </w:rPr>
        <w:t>Altmann, G. T. M.</w:t>
      </w:r>
      <w:r w:rsidR="1CB12FE3" w:rsidRPr="00E95BFF">
        <w:rPr>
          <w:rFonts w:eastAsiaTheme="minorEastAsia"/>
          <w:lang w:val="de-DE"/>
        </w:rPr>
        <w:t>,</w:t>
      </w:r>
      <w:r w:rsidRPr="00E95BFF">
        <w:rPr>
          <w:rFonts w:eastAsiaTheme="minorEastAsia"/>
          <w:lang w:val="de-DE"/>
        </w:rPr>
        <w:t xml:space="preserve"> </w:t>
      </w:r>
      <w:r w:rsidR="5917DCAA" w:rsidRPr="00E95BFF">
        <w:rPr>
          <w:rFonts w:eastAsiaTheme="minorEastAsia"/>
          <w:lang w:val="de-DE"/>
        </w:rPr>
        <w:t xml:space="preserve">&amp; Kamide, Y. (1999). </w:t>
      </w:r>
      <w:r w:rsidR="5917DCAA" w:rsidRPr="0C8C758A">
        <w:rPr>
          <w:rFonts w:eastAsiaTheme="minorEastAsia"/>
          <w:lang w:val="en-US"/>
        </w:rPr>
        <w:t xml:space="preserve">Incremental interpretation at verbs: Restricting the domain of subsequent reference. </w:t>
      </w:r>
      <w:r w:rsidR="5917DCAA" w:rsidRPr="0C8C758A">
        <w:rPr>
          <w:rFonts w:eastAsiaTheme="minorEastAsia"/>
          <w:i/>
          <w:iCs/>
          <w:lang w:val="en-US"/>
        </w:rPr>
        <w:t>Cognition</w:t>
      </w:r>
      <w:r w:rsidR="470FD987" w:rsidRPr="0C8C758A">
        <w:rPr>
          <w:rFonts w:eastAsiaTheme="minorEastAsia"/>
          <w:i/>
          <w:iCs/>
          <w:lang w:val="en-US"/>
        </w:rPr>
        <w:t>,</w:t>
      </w:r>
      <w:r w:rsidR="5917DCAA" w:rsidRPr="0C8C758A">
        <w:rPr>
          <w:rFonts w:eastAsiaTheme="minorEastAsia"/>
          <w:i/>
          <w:iCs/>
          <w:lang w:val="en-US"/>
        </w:rPr>
        <w:t xml:space="preserve"> 73</w:t>
      </w:r>
      <w:r w:rsidR="6B0B8A5B" w:rsidRPr="0C8C758A">
        <w:rPr>
          <w:rFonts w:eastAsiaTheme="minorEastAsia"/>
          <w:lang w:val="en-US"/>
        </w:rPr>
        <w:t>(3), 247</w:t>
      </w:r>
      <w:r w:rsidR="3175B28C" w:rsidRPr="0C8C758A">
        <w:rPr>
          <w:rFonts w:eastAsiaTheme="minorEastAsia"/>
          <w:color w:val="000000" w:themeColor="text1"/>
          <w:lang w:val="en-US"/>
        </w:rPr>
        <w:t>–</w:t>
      </w:r>
      <w:r w:rsidR="6B0B8A5B" w:rsidRPr="0C8C758A">
        <w:rPr>
          <w:rFonts w:eastAsiaTheme="minorEastAsia"/>
          <w:lang w:val="en-US"/>
        </w:rPr>
        <w:t>264.</w:t>
      </w:r>
      <w:r w:rsidR="4918C1BD" w:rsidRPr="0C8C758A">
        <w:rPr>
          <w:rFonts w:eastAsiaTheme="minorEastAsia"/>
          <w:lang w:val="en-US"/>
        </w:rPr>
        <w:t xml:space="preserve"> </w:t>
      </w:r>
      <w:hyperlink r:id="rId11">
        <w:r w:rsidR="4918C1BD" w:rsidRPr="0C8C758A">
          <w:rPr>
            <w:rStyle w:val="Hyperlink"/>
            <w:rFonts w:eastAsiaTheme="minorEastAsia"/>
            <w:lang w:val="en-US"/>
          </w:rPr>
          <w:t>https://doi.org/10.1016/S0010-0277(99)00059-1</w:t>
        </w:r>
      </w:hyperlink>
    </w:p>
    <w:p w14:paraId="0FD16BC3" w14:textId="755594E9" w:rsidR="0C8C758A" w:rsidRDefault="0C8C758A" w:rsidP="0C8C758A">
      <w:pPr>
        <w:spacing w:after="0" w:line="240" w:lineRule="auto"/>
        <w:rPr>
          <w:rFonts w:eastAsiaTheme="minorEastAsia"/>
          <w:u w:val="single"/>
          <w:lang w:val="en-US"/>
        </w:rPr>
      </w:pPr>
    </w:p>
    <w:p w14:paraId="2C2E4A93" w14:textId="7F701650" w:rsidR="386C1645" w:rsidRDefault="685245A1" w:rsidP="0C8C758A">
      <w:pPr>
        <w:spacing w:after="0" w:line="240" w:lineRule="auto"/>
        <w:rPr>
          <w:rFonts w:eastAsiaTheme="minorEastAsia"/>
          <w:color w:val="222222"/>
          <w:u w:val="single"/>
          <w:lang w:val="en-US"/>
        </w:rPr>
      </w:pPr>
      <w:r w:rsidRPr="0C8C758A">
        <w:rPr>
          <w:rFonts w:eastAsiaTheme="minorEastAsia"/>
          <w:u w:val="single"/>
          <w:lang w:val="en-US"/>
        </w:rPr>
        <w:t>Rhona’s</w:t>
      </w:r>
      <w:r w:rsidR="513492D4" w:rsidRPr="0C8C758A">
        <w:rPr>
          <w:rFonts w:eastAsiaTheme="minorEastAsia"/>
          <w:u w:val="single"/>
          <w:lang w:val="en-US"/>
        </w:rPr>
        <w:t xml:space="preserve"> study on prediction during simultaneous interpreting (</w:t>
      </w:r>
      <w:r w:rsidR="5443A09C" w:rsidRPr="0C8C758A">
        <w:rPr>
          <w:rFonts w:eastAsiaTheme="minorEastAsia"/>
          <w:u w:val="single"/>
          <w:lang w:val="en-US"/>
        </w:rPr>
        <w:t>materials and scripts at</w:t>
      </w:r>
      <w:r w:rsidR="513492D4" w:rsidRPr="0C8C758A">
        <w:rPr>
          <w:rFonts w:eastAsiaTheme="minorEastAsia"/>
          <w:u w:val="single"/>
          <w:lang w:val="en-US"/>
        </w:rPr>
        <w:t xml:space="preserve"> </w:t>
      </w:r>
      <w:hyperlink r:id="rId12">
        <w:r w:rsidR="783C83C4" w:rsidRPr="0C8C758A">
          <w:rPr>
            <w:rStyle w:val="Hyperlink"/>
            <w:rFonts w:eastAsiaTheme="minorEastAsia"/>
            <w:color w:val="auto"/>
            <w:lang w:val="en-US"/>
          </w:rPr>
          <w:t>https://osf.io/3sjfd/</w:t>
        </w:r>
      </w:hyperlink>
      <w:r w:rsidR="513492D4" w:rsidRPr="0C8C758A">
        <w:rPr>
          <w:rFonts w:eastAsiaTheme="minorEastAsia"/>
          <w:u w:val="single"/>
          <w:lang w:val="en-US"/>
        </w:rPr>
        <w:t>)</w:t>
      </w:r>
      <w:r w:rsidR="35CC7595" w:rsidRPr="0C8C758A">
        <w:rPr>
          <w:rFonts w:eastAsiaTheme="minorEastAsia"/>
          <w:u w:val="single"/>
          <w:lang w:val="en-US"/>
        </w:rPr>
        <w:t>. Ta</w:t>
      </w:r>
      <w:r w:rsidR="35CC7595" w:rsidRPr="0C8C758A">
        <w:rPr>
          <w:rFonts w:eastAsiaTheme="minorEastAsia"/>
          <w:color w:val="222222"/>
          <w:u w:val="single"/>
          <w:lang w:val="en-US"/>
        </w:rPr>
        <w:t>rget-absent design</w:t>
      </w:r>
    </w:p>
    <w:p w14:paraId="0158B3F6" w14:textId="122263E6" w:rsidR="0C8C758A" w:rsidRDefault="0C8C758A" w:rsidP="0C8C758A">
      <w:pPr>
        <w:spacing w:after="0" w:line="240" w:lineRule="auto"/>
        <w:rPr>
          <w:rFonts w:eastAsiaTheme="minorEastAsia"/>
          <w:color w:val="222222"/>
          <w:lang w:val="en-US"/>
        </w:rPr>
      </w:pPr>
    </w:p>
    <w:p w14:paraId="6D90758E" w14:textId="6E8562FE" w:rsidR="272A9C96" w:rsidRDefault="17D19F1A" w:rsidP="0C8C758A">
      <w:pPr>
        <w:spacing w:after="0" w:line="240" w:lineRule="auto"/>
        <w:rPr>
          <w:rFonts w:eastAsiaTheme="minorEastAsia"/>
          <w:color w:val="222222"/>
          <w:lang w:val="en-US"/>
        </w:rPr>
      </w:pPr>
      <w:r w:rsidRPr="0C8C758A">
        <w:rPr>
          <w:rFonts w:eastAsiaTheme="minorEastAsia"/>
          <w:color w:val="222222"/>
          <w:lang w:val="en-US"/>
        </w:rPr>
        <w:t xml:space="preserve">Amos, R. M., Seeber, K. G., &amp; Pickering, M. J. (2022). Prediction during simultaneous interpreting: Evidence from the visual-world paradigm. </w:t>
      </w:r>
      <w:r w:rsidRPr="0C8C758A">
        <w:rPr>
          <w:rFonts w:eastAsiaTheme="minorEastAsia"/>
          <w:i/>
          <w:iCs/>
          <w:color w:val="222222"/>
          <w:lang w:val="en-US"/>
        </w:rPr>
        <w:t>Cognition</w:t>
      </w:r>
      <w:r w:rsidRPr="0C8C758A">
        <w:rPr>
          <w:rFonts w:eastAsiaTheme="minorEastAsia"/>
          <w:color w:val="222222"/>
          <w:lang w:val="en-US"/>
        </w:rPr>
        <w:t xml:space="preserve">, </w:t>
      </w:r>
      <w:r w:rsidRPr="0C8C758A">
        <w:rPr>
          <w:rFonts w:eastAsiaTheme="minorEastAsia"/>
          <w:i/>
          <w:iCs/>
          <w:color w:val="222222"/>
          <w:lang w:val="en-US"/>
        </w:rPr>
        <w:t>220</w:t>
      </w:r>
      <w:r w:rsidRPr="0C8C758A">
        <w:rPr>
          <w:rFonts w:eastAsiaTheme="minorEastAsia"/>
          <w:color w:val="222222"/>
          <w:lang w:val="en-US"/>
        </w:rPr>
        <w:t>, 104987</w:t>
      </w:r>
      <w:r w:rsidR="2324F36B" w:rsidRPr="0C8C758A">
        <w:rPr>
          <w:rFonts w:eastAsiaTheme="minorEastAsia"/>
          <w:color w:val="222222"/>
          <w:lang w:val="en-US"/>
        </w:rPr>
        <w:t xml:space="preserve">. </w:t>
      </w:r>
      <w:hyperlink r:id="rId13">
        <w:r w:rsidR="2324F36B" w:rsidRPr="0C8C758A">
          <w:rPr>
            <w:rStyle w:val="Hyperlink"/>
            <w:rFonts w:eastAsiaTheme="minorEastAsia"/>
            <w:lang w:val="en-US"/>
          </w:rPr>
          <w:t>https://doi.org/10.1016/j.cognition.2021.104987</w:t>
        </w:r>
      </w:hyperlink>
    </w:p>
    <w:p w14:paraId="7A751981" w14:textId="61DAB63F" w:rsidR="0C8C758A" w:rsidRDefault="0C8C758A" w:rsidP="0C8C758A">
      <w:pPr>
        <w:spacing w:after="0" w:line="240" w:lineRule="auto"/>
        <w:rPr>
          <w:rFonts w:eastAsiaTheme="minorEastAsia"/>
          <w:color w:val="222222"/>
          <w:u w:val="single"/>
          <w:lang w:val="en-US"/>
        </w:rPr>
      </w:pPr>
    </w:p>
    <w:p w14:paraId="4DC901B2" w14:textId="29A38CD6" w:rsidR="585A04F9" w:rsidRDefault="754406BB" w:rsidP="0C8C758A">
      <w:pPr>
        <w:spacing w:after="0" w:line="240" w:lineRule="auto"/>
        <w:rPr>
          <w:rFonts w:eastAsiaTheme="minorEastAsia"/>
          <w:color w:val="222222"/>
          <w:u w:val="single"/>
          <w:lang w:val="en-US"/>
        </w:rPr>
      </w:pPr>
      <w:r w:rsidRPr="0C8C758A">
        <w:rPr>
          <w:rFonts w:eastAsiaTheme="minorEastAsia"/>
          <w:color w:val="222222"/>
          <w:u w:val="single"/>
          <w:lang w:val="en-US"/>
        </w:rPr>
        <w:t xml:space="preserve">Another study on prediction using a </w:t>
      </w:r>
      <w:r w:rsidR="79756E02" w:rsidRPr="0C8C758A">
        <w:rPr>
          <w:rFonts w:eastAsiaTheme="minorEastAsia"/>
          <w:color w:val="222222"/>
          <w:u w:val="single"/>
          <w:lang w:val="en-US"/>
        </w:rPr>
        <w:t>target-present design</w:t>
      </w:r>
    </w:p>
    <w:p w14:paraId="6ACAD60E" w14:textId="3BD79E9B" w:rsidR="585A04F9" w:rsidRDefault="754406BB" w:rsidP="0C8C758A">
      <w:pPr>
        <w:spacing w:after="0" w:line="240" w:lineRule="auto"/>
        <w:rPr>
          <w:rFonts w:eastAsiaTheme="minorEastAsia"/>
          <w:color w:val="222222"/>
          <w:lang w:val="en-US"/>
        </w:rPr>
      </w:pPr>
      <w:r w:rsidRPr="0C8C758A">
        <w:rPr>
          <w:rFonts w:eastAsiaTheme="minorEastAsia"/>
          <w:color w:val="222222"/>
          <w:lang w:val="en-US"/>
        </w:rPr>
        <w:t xml:space="preserve">Corps, R. E., Brooke, C., &amp; Pickering, M. J. (2022). Prediction involves two stages: Evidence from visual-world eye-tracking. </w:t>
      </w:r>
      <w:r w:rsidRPr="0C8C758A">
        <w:rPr>
          <w:rFonts w:eastAsiaTheme="minorEastAsia"/>
          <w:i/>
          <w:iCs/>
          <w:color w:val="222222"/>
          <w:lang w:val="en-US"/>
        </w:rPr>
        <w:t>Journal of Memory and Language</w:t>
      </w:r>
      <w:r w:rsidRPr="0C8C758A">
        <w:rPr>
          <w:rFonts w:eastAsiaTheme="minorEastAsia"/>
          <w:color w:val="222222"/>
          <w:lang w:val="en-US"/>
        </w:rPr>
        <w:t xml:space="preserve">, </w:t>
      </w:r>
      <w:r w:rsidRPr="0C8C758A">
        <w:rPr>
          <w:rFonts w:eastAsiaTheme="minorEastAsia"/>
          <w:i/>
          <w:iCs/>
          <w:color w:val="222222"/>
          <w:lang w:val="en-US"/>
        </w:rPr>
        <w:t>122</w:t>
      </w:r>
      <w:r w:rsidRPr="0C8C758A">
        <w:rPr>
          <w:rFonts w:eastAsiaTheme="minorEastAsia"/>
          <w:color w:val="222222"/>
          <w:lang w:val="en-US"/>
        </w:rPr>
        <w:t>, 104298.</w:t>
      </w:r>
      <w:r w:rsidR="67EEBB89" w:rsidRPr="0C8C758A">
        <w:rPr>
          <w:rFonts w:eastAsiaTheme="minorEastAsia"/>
          <w:color w:val="222222"/>
          <w:lang w:val="en-US"/>
        </w:rPr>
        <w:t xml:space="preserve"> </w:t>
      </w:r>
      <w:hyperlink r:id="rId14">
        <w:r w:rsidR="67EEBB89" w:rsidRPr="0C8C758A">
          <w:rPr>
            <w:rStyle w:val="Hyperlink"/>
            <w:rFonts w:eastAsiaTheme="minorEastAsia"/>
            <w:lang w:val="en-US"/>
          </w:rPr>
          <w:t>https://doi.org/10.1016/j.jml.2021.104298</w:t>
        </w:r>
      </w:hyperlink>
    </w:p>
    <w:p w14:paraId="47C17535" w14:textId="1FBA9DB7" w:rsidR="0C8C758A" w:rsidRDefault="0C8C758A" w:rsidP="0C8C758A">
      <w:pPr>
        <w:spacing w:after="0" w:line="240" w:lineRule="auto"/>
        <w:rPr>
          <w:rFonts w:eastAsiaTheme="minorEastAsia"/>
          <w:lang w:val="en-US"/>
        </w:rPr>
      </w:pPr>
    </w:p>
    <w:p w14:paraId="0EE19A1C" w14:textId="3696E936" w:rsidR="718D27A2" w:rsidRDefault="718D27A2" w:rsidP="0C8C758A">
      <w:pPr>
        <w:spacing w:after="0" w:line="240" w:lineRule="auto"/>
        <w:rPr>
          <w:rFonts w:eastAsiaTheme="minorEastAsia"/>
          <w:u w:val="single"/>
          <w:lang w:val="en-US"/>
        </w:rPr>
      </w:pPr>
      <w:r w:rsidRPr="0C8C758A">
        <w:rPr>
          <w:rFonts w:eastAsiaTheme="minorEastAsia"/>
          <w:u w:val="single"/>
          <w:lang w:val="en-US"/>
        </w:rPr>
        <w:t>Further studies on prediction in the VWP in interpreters</w:t>
      </w:r>
    </w:p>
    <w:p w14:paraId="0C16DD53" w14:textId="494B80C5" w:rsidR="0C8C758A" w:rsidRDefault="0C8C758A" w:rsidP="0C8C758A">
      <w:pPr>
        <w:spacing w:after="0" w:line="240" w:lineRule="auto"/>
        <w:rPr>
          <w:rFonts w:eastAsiaTheme="minorEastAsia"/>
          <w:lang w:val="en-US"/>
        </w:rPr>
      </w:pPr>
    </w:p>
    <w:p w14:paraId="16A60200" w14:textId="2977AE9E" w:rsidR="2F67A929" w:rsidRPr="00E95BFF" w:rsidRDefault="2F67A929" w:rsidP="0C8C758A">
      <w:pPr>
        <w:spacing w:after="0" w:line="240" w:lineRule="auto"/>
        <w:rPr>
          <w:rFonts w:eastAsiaTheme="minorEastAsia"/>
          <w:lang w:val="de-DE"/>
        </w:rPr>
      </w:pPr>
      <w:r w:rsidRPr="00E95BFF">
        <w:rPr>
          <w:rFonts w:eastAsiaTheme="minorEastAsia"/>
          <w:lang w:val="de-DE"/>
        </w:rPr>
        <w:t xml:space="preserve">Hodzik, E., Özkan, D., &amp; Diriker, E. (2025). </w:t>
      </w:r>
      <w:r w:rsidRPr="0C8C758A">
        <w:rPr>
          <w:rFonts w:eastAsiaTheme="minorEastAsia"/>
          <w:lang w:val="en-US"/>
        </w:rPr>
        <w:t xml:space="preserve">Simultaneous interpreting experience enhances semantic prediction in Turkish. </w:t>
      </w:r>
      <w:r w:rsidRPr="00E95BFF">
        <w:rPr>
          <w:rFonts w:eastAsiaTheme="minorEastAsia"/>
          <w:i/>
          <w:iCs/>
          <w:lang w:val="de-DE"/>
        </w:rPr>
        <w:t>Target</w:t>
      </w:r>
      <w:r w:rsidRPr="00E95BFF">
        <w:rPr>
          <w:rFonts w:eastAsiaTheme="minorEastAsia"/>
          <w:lang w:val="de-DE"/>
        </w:rPr>
        <w:t xml:space="preserve">, </w:t>
      </w:r>
      <w:r w:rsidRPr="00E95BFF">
        <w:rPr>
          <w:rFonts w:eastAsiaTheme="minorEastAsia"/>
          <w:i/>
          <w:iCs/>
          <w:lang w:val="de-DE"/>
        </w:rPr>
        <w:t>37</w:t>
      </w:r>
      <w:r w:rsidRPr="00E95BFF">
        <w:rPr>
          <w:rFonts w:eastAsiaTheme="minorEastAsia"/>
          <w:lang w:val="de-DE"/>
        </w:rPr>
        <w:t xml:space="preserve">(4), 627-655. </w:t>
      </w:r>
      <w:hyperlink r:id="rId15">
        <w:r w:rsidRPr="00E95BFF">
          <w:rPr>
            <w:rStyle w:val="Hyperlink"/>
            <w:rFonts w:eastAsiaTheme="minorEastAsia"/>
            <w:color w:val="auto"/>
            <w:lang w:val="de-DE"/>
          </w:rPr>
          <w:t>https://doi.org/10.1075/target.23141.hod</w:t>
        </w:r>
      </w:hyperlink>
    </w:p>
    <w:p w14:paraId="60AD64D4" w14:textId="2DD5F909" w:rsidR="0C8C758A" w:rsidRPr="00E95BFF" w:rsidRDefault="0C8C758A" w:rsidP="0C8C758A">
      <w:pPr>
        <w:spacing w:after="0" w:line="240" w:lineRule="auto"/>
        <w:rPr>
          <w:rFonts w:eastAsiaTheme="minorEastAsia"/>
          <w:lang w:val="de-DE"/>
        </w:rPr>
      </w:pPr>
    </w:p>
    <w:p w14:paraId="32A435FE" w14:textId="42CABE8D" w:rsidR="2F67A929" w:rsidRDefault="2F67A929" w:rsidP="0C8C758A">
      <w:pPr>
        <w:spacing w:after="0" w:line="240" w:lineRule="auto"/>
        <w:rPr>
          <w:rFonts w:eastAsiaTheme="minorEastAsia"/>
        </w:rPr>
      </w:pPr>
      <w:r w:rsidRPr="00E95BFF">
        <w:rPr>
          <w:rFonts w:eastAsiaTheme="minorEastAsia"/>
          <w:lang w:val="de-DE"/>
        </w:rPr>
        <w:t xml:space="preserve">Özkan, D., Hodzik, E., &amp; Diriker, E. (2023). </w:t>
      </w:r>
      <w:r w:rsidRPr="0C8C758A">
        <w:rPr>
          <w:rFonts w:eastAsiaTheme="minorEastAsia"/>
          <w:lang w:val="en-US"/>
        </w:rPr>
        <w:t xml:space="preserve">Simultaneous interpreting experience enhances the use of case markers for prediction in Turkish. </w:t>
      </w:r>
      <w:r w:rsidRPr="0C8C758A">
        <w:rPr>
          <w:rFonts w:eastAsiaTheme="minorEastAsia"/>
          <w:i/>
          <w:iCs/>
          <w:lang w:val="en-US"/>
        </w:rPr>
        <w:t>Interpreting</w:t>
      </w:r>
      <w:r w:rsidRPr="0C8C758A">
        <w:rPr>
          <w:rFonts w:eastAsiaTheme="minorEastAsia"/>
          <w:lang w:val="en-US"/>
        </w:rPr>
        <w:t xml:space="preserve">, </w:t>
      </w:r>
      <w:r w:rsidRPr="0C8C758A">
        <w:rPr>
          <w:rFonts w:eastAsiaTheme="minorEastAsia"/>
          <w:i/>
          <w:iCs/>
          <w:lang w:val="en-US"/>
        </w:rPr>
        <w:t>25</w:t>
      </w:r>
      <w:r w:rsidRPr="0C8C758A">
        <w:rPr>
          <w:rFonts w:eastAsiaTheme="minorEastAsia"/>
          <w:lang w:val="en-US"/>
        </w:rPr>
        <w:t xml:space="preserve">(2), 186-210. </w:t>
      </w:r>
      <w:hyperlink r:id="rId16">
        <w:r w:rsidRPr="0C8C758A">
          <w:rPr>
            <w:rStyle w:val="Hyperlink"/>
            <w:rFonts w:eastAsiaTheme="minorEastAsia"/>
            <w:color w:val="auto"/>
            <w:lang w:val="en-US"/>
          </w:rPr>
          <w:t>https://doi.org/10.1075/intp.00085.ozk</w:t>
        </w:r>
      </w:hyperlink>
    </w:p>
    <w:p w14:paraId="675F9851" w14:textId="5697FBF4" w:rsidR="0C8C758A" w:rsidRDefault="0C8C758A" w:rsidP="0C8C758A">
      <w:pPr>
        <w:spacing w:after="0" w:line="240" w:lineRule="auto"/>
        <w:rPr>
          <w:rFonts w:eastAsiaTheme="minorEastAsia"/>
          <w:lang w:val="en-US"/>
        </w:rPr>
      </w:pPr>
    </w:p>
    <w:sectPr w:rsidR="0C8C758A">
      <w:footerReference w:type="default" r:id="rId1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BB319" w14:textId="77777777" w:rsidR="00E20039" w:rsidRDefault="00E20039" w:rsidP="00E95BFF">
      <w:pPr>
        <w:spacing w:after="0" w:line="240" w:lineRule="auto"/>
      </w:pPr>
      <w:r>
        <w:separator/>
      </w:r>
    </w:p>
  </w:endnote>
  <w:endnote w:type="continuationSeparator" w:id="0">
    <w:p w14:paraId="506BBEC0" w14:textId="77777777" w:rsidR="00E20039" w:rsidRDefault="00E20039" w:rsidP="00E95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96197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2FD594" w14:textId="7A82290F" w:rsidR="00E95BFF" w:rsidRDefault="00E95B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74D8D4" w14:textId="77777777" w:rsidR="00E95BFF" w:rsidRDefault="00E95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4148E" w14:textId="77777777" w:rsidR="00E20039" w:rsidRDefault="00E20039" w:rsidP="00E95BFF">
      <w:pPr>
        <w:spacing w:after="0" w:line="240" w:lineRule="auto"/>
      </w:pPr>
      <w:r>
        <w:separator/>
      </w:r>
    </w:p>
  </w:footnote>
  <w:footnote w:type="continuationSeparator" w:id="0">
    <w:p w14:paraId="0EBB4C47" w14:textId="77777777" w:rsidR="00E20039" w:rsidRDefault="00E20039" w:rsidP="00E95B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FC9D09"/>
    <w:multiLevelType w:val="hybridMultilevel"/>
    <w:tmpl w:val="FC68CA96"/>
    <w:lvl w:ilvl="0" w:tplc="603A21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FA55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1005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101C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CAD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686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5CC7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70B6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560F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658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D2B0A02"/>
    <w:rsid w:val="0053FC27"/>
    <w:rsid w:val="006B1A48"/>
    <w:rsid w:val="006E66BB"/>
    <w:rsid w:val="0090F6C9"/>
    <w:rsid w:val="00AA3578"/>
    <w:rsid w:val="00E20039"/>
    <w:rsid w:val="00E95BFF"/>
    <w:rsid w:val="01604765"/>
    <w:rsid w:val="029A4538"/>
    <w:rsid w:val="029AFAEB"/>
    <w:rsid w:val="02D42F6B"/>
    <w:rsid w:val="0387087B"/>
    <w:rsid w:val="0392E605"/>
    <w:rsid w:val="04159DDF"/>
    <w:rsid w:val="05D7D64A"/>
    <w:rsid w:val="06A259FD"/>
    <w:rsid w:val="079F4697"/>
    <w:rsid w:val="0805D9F7"/>
    <w:rsid w:val="0898800C"/>
    <w:rsid w:val="08D10CDE"/>
    <w:rsid w:val="0915C7B1"/>
    <w:rsid w:val="095163D8"/>
    <w:rsid w:val="0A0F21A7"/>
    <w:rsid w:val="0A691A99"/>
    <w:rsid w:val="0AF1C489"/>
    <w:rsid w:val="0AF9C6FF"/>
    <w:rsid w:val="0B06CCC1"/>
    <w:rsid w:val="0C8C758A"/>
    <w:rsid w:val="0EEC370D"/>
    <w:rsid w:val="0F9DE060"/>
    <w:rsid w:val="1053F28D"/>
    <w:rsid w:val="11F3F2A8"/>
    <w:rsid w:val="12B98EAB"/>
    <w:rsid w:val="147099E3"/>
    <w:rsid w:val="14E19642"/>
    <w:rsid w:val="157344B2"/>
    <w:rsid w:val="159D0353"/>
    <w:rsid w:val="15DAB1C5"/>
    <w:rsid w:val="175B473C"/>
    <w:rsid w:val="17C60FAE"/>
    <w:rsid w:val="17D19F1A"/>
    <w:rsid w:val="17EB1B06"/>
    <w:rsid w:val="18175DD6"/>
    <w:rsid w:val="1A98A403"/>
    <w:rsid w:val="1BCA60C7"/>
    <w:rsid w:val="1C0AFC2E"/>
    <w:rsid w:val="1C4B68F7"/>
    <w:rsid w:val="1CB12FE3"/>
    <w:rsid w:val="1CF023F4"/>
    <w:rsid w:val="1D1462AE"/>
    <w:rsid w:val="1D7347AF"/>
    <w:rsid w:val="1D986216"/>
    <w:rsid w:val="1DCA0964"/>
    <w:rsid w:val="1E08ED57"/>
    <w:rsid w:val="1E35C2FE"/>
    <w:rsid w:val="1F99ABE4"/>
    <w:rsid w:val="20FCF565"/>
    <w:rsid w:val="217520C7"/>
    <w:rsid w:val="2324F36B"/>
    <w:rsid w:val="23493524"/>
    <w:rsid w:val="252E0155"/>
    <w:rsid w:val="258C9EEA"/>
    <w:rsid w:val="25FEDBBA"/>
    <w:rsid w:val="272A9C96"/>
    <w:rsid w:val="28FF250C"/>
    <w:rsid w:val="298D6239"/>
    <w:rsid w:val="2A659869"/>
    <w:rsid w:val="2C8C1DD0"/>
    <w:rsid w:val="2D2B0A02"/>
    <w:rsid w:val="2D9B2431"/>
    <w:rsid w:val="2E7708B6"/>
    <w:rsid w:val="2E785DBD"/>
    <w:rsid w:val="2ECC06E7"/>
    <w:rsid w:val="2EDD2402"/>
    <w:rsid w:val="2F0EA8AB"/>
    <w:rsid w:val="2F67A929"/>
    <w:rsid w:val="300632C3"/>
    <w:rsid w:val="307E14CB"/>
    <w:rsid w:val="308C36A6"/>
    <w:rsid w:val="30E29BB1"/>
    <w:rsid w:val="3119DA97"/>
    <w:rsid w:val="3175B28C"/>
    <w:rsid w:val="31C76653"/>
    <w:rsid w:val="32E74638"/>
    <w:rsid w:val="33318CC7"/>
    <w:rsid w:val="347A06AE"/>
    <w:rsid w:val="348A5221"/>
    <w:rsid w:val="34EDB774"/>
    <w:rsid w:val="353CD772"/>
    <w:rsid w:val="35CC7595"/>
    <w:rsid w:val="35DCFEDE"/>
    <w:rsid w:val="36639CF8"/>
    <w:rsid w:val="376292D5"/>
    <w:rsid w:val="386C1645"/>
    <w:rsid w:val="388D66CC"/>
    <w:rsid w:val="3943F95D"/>
    <w:rsid w:val="394D71C2"/>
    <w:rsid w:val="3A1F5739"/>
    <w:rsid w:val="3A2B788A"/>
    <w:rsid w:val="3B8110CC"/>
    <w:rsid w:val="3B944858"/>
    <w:rsid w:val="3CE5A62E"/>
    <w:rsid w:val="3D717E82"/>
    <w:rsid w:val="3D788810"/>
    <w:rsid w:val="3E9AB6CC"/>
    <w:rsid w:val="3ECAAC70"/>
    <w:rsid w:val="3EE41220"/>
    <w:rsid w:val="3FE42503"/>
    <w:rsid w:val="4045F20C"/>
    <w:rsid w:val="40C3242D"/>
    <w:rsid w:val="429EB99E"/>
    <w:rsid w:val="42CE6DE7"/>
    <w:rsid w:val="43974501"/>
    <w:rsid w:val="45241634"/>
    <w:rsid w:val="457693C9"/>
    <w:rsid w:val="46B87F0F"/>
    <w:rsid w:val="46CF557C"/>
    <w:rsid w:val="46F6823F"/>
    <w:rsid w:val="470FD987"/>
    <w:rsid w:val="47C77087"/>
    <w:rsid w:val="4818E19F"/>
    <w:rsid w:val="481AEB14"/>
    <w:rsid w:val="4881988B"/>
    <w:rsid w:val="4918C1BD"/>
    <w:rsid w:val="4BE3C1A2"/>
    <w:rsid w:val="4D5A6CBE"/>
    <w:rsid w:val="4E85F8BB"/>
    <w:rsid w:val="4EC6D7DB"/>
    <w:rsid w:val="4EFA71DF"/>
    <w:rsid w:val="4F685721"/>
    <w:rsid w:val="4FA40CEC"/>
    <w:rsid w:val="5038744E"/>
    <w:rsid w:val="50891719"/>
    <w:rsid w:val="51110EAD"/>
    <w:rsid w:val="513492D4"/>
    <w:rsid w:val="5258707E"/>
    <w:rsid w:val="52C3BB9B"/>
    <w:rsid w:val="533FA8C1"/>
    <w:rsid w:val="54148485"/>
    <w:rsid w:val="54294718"/>
    <w:rsid w:val="5443A09C"/>
    <w:rsid w:val="54B2B2C1"/>
    <w:rsid w:val="566C2570"/>
    <w:rsid w:val="585A04F9"/>
    <w:rsid w:val="58801B8E"/>
    <w:rsid w:val="58EA1F93"/>
    <w:rsid w:val="58F58E33"/>
    <w:rsid w:val="5917DCAA"/>
    <w:rsid w:val="5962762B"/>
    <w:rsid w:val="59EA76A1"/>
    <w:rsid w:val="5A962087"/>
    <w:rsid w:val="5AE258C9"/>
    <w:rsid w:val="5B24E37A"/>
    <w:rsid w:val="5C599DB9"/>
    <w:rsid w:val="5CC94FF9"/>
    <w:rsid w:val="5D58035E"/>
    <w:rsid w:val="5DD450D7"/>
    <w:rsid w:val="5E2562E6"/>
    <w:rsid w:val="5EB44062"/>
    <w:rsid w:val="5ECDEC4D"/>
    <w:rsid w:val="5F3F1D1C"/>
    <w:rsid w:val="600563B4"/>
    <w:rsid w:val="60388936"/>
    <w:rsid w:val="60D2C9CF"/>
    <w:rsid w:val="613A62EF"/>
    <w:rsid w:val="61EC394A"/>
    <w:rsid w:val="622185E0"/>
    <w:rsid w:val="64322D3F"/>
    <w:rsid w:val="65875C06"/>
    <w:rsid w:val="670C326D"/>
    <w:rsid w:val="67152027"/>
    <w:rsid w:val="67EEBB89"/>
    <w:rsid w:val="67F2F2AC"/>
    <w:rsid w:val="68442AE9"/>
    <w:rsid w:val="685245A1"/>
    <w:rsid w:val="6966239A"/>
    <w:rsid w:val="6AE3A3AF"/>
    <w:rsid w:val="6B0B8A5B"/>
    <w:rsid w:val="6B64DA5E"/>
    <w:rsid w:val="6BBA6B9E"/>
    <w:rsid w:val="6C30C517"/>
    <w:rsid w:val="6CABF71C"/>
    <w:rsid w:val="6ED41B40"/>
    <w:rsid w:val="718D27A2"/>
    <w:rsid w:val="721EFFD0"/>
    <w:rsid w:val="728BA7B3"/>
    <w:rsid w:val="7300B1A3"/>
    <w:rsid w:val="730F8650"/>
    <w:rsid w:val="73200579"/>
    <w:rsid w:val="739835DE"/>
    <w:rsid w:val="73B8EBE4"/>
    <w:rsid w:val="742B857D"/>
    <w:rsid w:val="744A1DCB"/>
    <w:rsid w:val="74B40B13"/>
    <w:rsid w:val="74B7ADEB"/>
    <w:rsid w:val="74FA0998"/>
    <w:rsid w:val="754406BB"/>
    <w:rsid w:val="759F380B"/>
    <w:rsid w:val="75B6A2C0"/>
    <w:rsid w:val="7783C479"/>
    <w:rsid w:val="7799D436"/>
    <w:rsid w:val="783C83C4"/>
    <w:rsid w:val="786B4810"/>
    <w:rsid w:val="7897E0AB"/>
    <w:rsid w:val="791C69D0"/>
    <w:rsid w:val="79756E02"/>
    <w:rsid w:val="7AAE4917"/>
    <w:rsid w:val="7D7A1746"/>
    <w:rsid w:val="7EDCFA26"/>
    <w:rsid w:val="7F01E118"/>
    <w:rsid w:val="7F39B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2B0A02"/>
  <w15:chartTrackingRefBased/>
  <w15:docId w15:val="{221139B6-C4E2-40D2-A743-0030CE72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4045F20C"/>
    <w:rPr>
      <w:color w:val="467886"/>
      <w:u w:val="single"/>
    </w:rPr>
  </w:style>
  <w:style w:type="paragraph" w:styleId="ListParagraph">
    <w:name w:val="List Paragraph"/>
    <w:basedOn w:val="Normal"/>
    <w:uiPriority w:val="34"/>
    <w:qFormat/>
    <w:rsid w:val="0C8C75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5B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BFF"/>
  </w:style>
  <w:style w:type="paragraph" w:styleId="Footer">
    <w:name w:val="footer"/>
    <w:basedOn w:val="Normal"/>
    <w:link w:val="FooterChar"/>
    <w:uiPriority w:val="99"/>
    <w:unhideWhenUsed/>
    <w:rsid w:val="00E95B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B978-008043361-5/50004-3" TargetMode="External"/><Relationship Id="rId13" Type="http://schemas.openxmlformats.org/officeDocument/2006/relationships/hyperlink" Target="https://doi.org/10.1016/j.cognition.2021.10498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3758/s13428-024-02572-4" TargetMode="External"/><Relationship Id="rId12" Type="http://schemas.openxmlformats.org/officeDocument/2006/relationships/hyperlink" Target="https://osf.io/3sjfd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doi.org/10.1075/intp.00085.oz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16/S0010-0277(99)00059-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1075/target.23141.hod" TargetMode="External"/><Relationship Id="rId10" Type="http://schemas.openxmlformats.org/officeDocument/2006/relationships/hyperlink" Target="https://doi.org/10.3758/s13428-022-01969-3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7605/OSF.IO/6RXDF" TargetMode="External"/><Relationship Id="rId14" Type="http://schemas.openxmlformats.org/officeDocument/2006/relationships/hyperlink" Target="https://doi.org/10.1016/j.jml.2021.1042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1073</Words>
  <Characters>6119</Characters>
  <Application>Microsoft Office Word</Application>
  <DocSecurity>0</DocSecurity>
  <Lines>50</Lines>
  <Paragraphs>14</Paragraphs>
  <ScaleCrop>false</ScaleCrop>
  <Company/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Ena HODJIKJ</dc:creator>
  <cp:keywords/>
  <dc:description/>
  <cp:lastModifiedBy>Ena HODJIKJ</cp:lastModifiedBy>
  <cp:revision>2</cp:revision>
  <dcterms:created xsi:type="dcterms:W3CDTF">2026-04-15T13:08:00Z</dcterms:created>
  <dcterms:modified xsi:type="dcterms:W3CDTF">2026-04-15T13:08:00Z</dcterms:modified>
</cp:coreProperties>
</file>